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4FD334">
      <w:pPr>
        <w:pStyle w:val="9"/>
        <w:rPr>
          <w:rStyle w:val="14"/>
          <w:sz w:val="44"/>
          <w:szCs w:val="44"/>
        </w:rPr>
      </w:pPr>
      <w:r>
        <w:rPr>
          <w:rStyle w:val="14"/>
          <w:rFonts w:hint="eastAsia"/>
          <w:sz w:val="44"/>
          <w:szCs w:val="44"/>
        </w:rPr>
        <w:t>歙县县级储备稻谷竞价销售</w:t>
      </w:r>
      <w:r>
        <w:rPr>
          <w:rStyle w:val="14"/>
          <w:rFonts w:hint="eastAsia"/>
          <w:sz w:val="40"/>
        </w:rPr>
        <w:t>交易细则</w:t>
      </w:r>
    </w:p>
    <w:p w14:paraId="0FB02D2F">
      <w:pPr>
        <w:spacing w:line="800" w:lineRule="exact"/>
        <w:jc w:val="center"/>
        <w:rPr>
          <w:rFonts w:ascii="黑体" w:eastAsia="黑体"/>
          <w:bCs/>
          <w:sz w:val="32"/>
        </w:rPr>
      </w:pPr>
      <w:r>
        <w:rPr>
          <w:rFonts w:hint="eastAsia" w:ascii="黑体" w:eastAsia="黑体"/>
          <w:bCs/>
          <w:sz w:val="32"/>
        </w:rPr>
        <w:t>第一章  总  则</w:t>
      </w:r>
    </w:p>
    <w:p w14:paraId="3B9CADB9">
      <w:pPr>
        <w:spacing w:line="560" w:lineRule="exact"/>
        <w:ind w:firstLine="600" w:firstLineChars="200"/>
        <w:rPr>
          <w:rFonts w:ascii="仿宋_GB2312" w:hAnsi="宋体" w:eastAsia="仿宋_GB2312"/>
          <w:spacing w:val="6"/>
          <w:sz w:val="30"/>
          <w:szCs w:val="30"/>
          <w:lang w:val="zh-CN"/>
        </w:rPr>
      </w:pPr>
      <w:r>
        <w:rPr>
          <w:rFonts w:hint="eastAsia" w:ascii="黑体" w:eastAsia="黑体"/>
          <w:sz w:val="30"/>
        </w:rPr>
        <w:t>第一条</w:t>
      </w:r>
      <w:r>
        <w:rPr>
          <w:rFonts w:hint="eastAsia" w:ascii="仿宋_GB2312" w:eastAsia="仿宋_GB2312"/>
          <w:sz w:val="30"/>
        </w:rPr>
        <w:t xml:space="preserve">  </w:t>
      </w:r>
      <w:r>
        <w:rPr>
          <w:rFonts w:hint="eastAsia" w:ascii="仿宋_GB2312" w:hAnsi="宋体" w:eastAsia="仿宋_GB2312"/>
          <w:sz w:val="30"/>
        </w:rPr>
        <w:t>受歙县粮食购销有限公司</w:t>
      </w:r>
      <w:r>
        <w:rPr>
          <w:rFonts w:hint="eastAsia" w:ascii="仿宋_GB2312" w:eastAsia="仿宋_GB2312"/>
          <w:sz w:val="30"/>
        </w:rPr>
        <w:t>的委托，</w:t>
      </w:r>
      <w:r>
        <w:rPr>
          <w:rFonts w:hint="eastAsia" w:ascii="仿宋_GB2312" w:hAnsi="宋体" w:eastAsia="仿宋_GB2312"/>
          <w:sz w:val="30"/>
          <w:szCs w:val="30"/>
          <w:lang w:val="zh-CN"/>
        </w:rPr>
        <w:t>安徽省粮食和物资储备保障中心（国家粮食安徽交易中心）</w:t>
      </w:r>
      <w:r>
        <w:rPr>
          <w:rFonts w:hint="eastAsia" w:ascii="仿宋_GB2312" w:eastAsia="仿宋_GB2312"/>
          <w:sz w:val="30"/>
        </w:rPr>
        <w:t>承担本次县级储备稻谷竞价销售的组织工作。</w:t>
      </w:r>
      <w:r>
        <w:rPr>
          <w:rFonts w:hint="eastAsia" w:ascii="仿宋_GB2312" w:hAnsi="宋体" w:eastAsia="仿宋_GB2312"/>
          <w:spacing w:val="6"/>
          <w:sz w:val="30"/>
          <w:szCs w:val="30"/>
          <w:lang w:val="zh-CN"/>
        </w:rPr>
        <w:t>为保证交易活动顺利进行，特制定本交易细则。</w:t>
      </w:r>
    </w:p>
    <w:p w14:paraId="67F962FE">
      <w:pPr>
        <w:spacing w:line="560" w:lineRule="exact"/>
        <w:ind w:firstLine="600" w:firstLineChars="200"/>
        <w:rPr>
          <w:rFonts w:ascii="仿宋_GB2312" w:eastAsia="仿宋_GB2312"/>
          <w:sz w:val="30"/>
        </w:rPr>
      </w:pPr>
      <w:r>
        <w:rPr>
          <w:rFonts w:hint="eastAsia" w:ascii="黑体" w:eastAsia="黑体"/>
          <w:sz w:val="30"/>
        </w:rPr>
        <w:t>第二条</w:t>
      </w:r>
      <w:r>
        <w:rPr>
          <w:rFonts w:hint="eastAsia" w:ascii="仿宋_GB2312" w:eastAsia="仿宋_GB2312"/>
          <w:sz w:val="30"/>
        </w:rPr>
        <w:t xml:space="preserve">  承储库点作为本次交易活动的卖方代表，具体负责出库、商务处理等工作，并承担相应的责任。本次交易的买方必须是</w:t>
      </w:r>
      <w:r>
        <w:rPr>
          <w:rFonts w:hint="eastAsia" w:ascii="仿宋_GB2312" w:hAnsi="宋体" w:eastAsia="仿宋_GB2312"/>
          <w:spacing w:val="6"/>
          <w:sz w:val="30"/>
          <w:szCs w:val="30"/>
          <w:lang w:val="zh-CN"/>
        </w:rPr>
        <w:t>自愿报名的国内具有粮食经营资格</w:t>
      </w:r>
      <w:r>
        <w:rPr>
          <w:rFonts w:hint="eastAsia" w:ascii="仿宋_GB2312" w:eastAsia="仿宋_GB2312"/>
          <w:sz w:val="30"/>
        </w:rPr>
        <w:t>的企业。</w:t>
      </w:r>
    </w:p>
    <w:p w14:paraId="64AC166B">
      <w:pPr>
        <w:spacing w:line="560" w:lineRule="exact"/>
        <w:ind w:firstLine="600" w:firstLineChars="200"/>
        <w:rPr>
          <w:rFonts w:ascii="仿宋_GB2312" w:eastAsia="仿宋_GB2312"/>
          <w:sz w:val="30"/>
        </w:rPr>
      </w:pPr>
      <w:r>
        <w:rPr>
          <w:rFonts w:hint="eastAsia" w:ascii="黑体" w:eastAsia="黑体"/>
          <w:sz w:val="30"/>
        </w:rPr>
        <w:t>第三条</w:t>
      </w:r>
      <w:r>
        <w:rPr>
          <w:rFonts w:hint="eastAsia" w:ascii="仿宋_GB2312" w:eastAsia="仿宋_GB2312"/>
          <w:sz w:val="30"/>
        </w:rPr>
        <w:t xml:space="preserve">  安徽省粮食和物资储备保障中心（国家粮食安徽交易中心） 按照“公开、公平、公正”的原则组织竞价销售，参加交易的各方必须遵守本细则。</w:t>
      </w:r>
    </w:p>
    <w:p w14:paraId="67B92B8B">
      <w:pPr>
        <w:spacing w:line="800" w:lineRule="exact"/>
        <w:jc w:val="center"/>
        <w:rPr>
          <w:rFonts w:ascii="黑体" w:eastAsia="黑体"/>
          <w:bCs/>
          <w:sz w:val="32"/>
        </w:rPr>
      </w:pPr>
      <w:r>
        <w:rPr>
          <w:rFonts w:hint="eastAsia" w:ascii="黑体" w:eastAsia="黑体"/>
          <w:bCs/>
          <w:sz w:val="32"/>
        </w:rPr>
        <w:t>第二章  交易准备</w:t>
      </w:r>
    </w:p>
    <w:p w14:paraId="1BDCDD90">
      <w:pPr>
        <w:ind w:firstLine="600" w:firstLineChars="200"/>
        <w:rPr>
          <w:rFonts w:ascii="仿宋_GB2312" w:eastAsia="仿宋_GB2312"/>
          <w:sz w:val="30"/>
        </w:rPr>
      </w:pPr>
      <w:r>
        <w:rPr>
          <w:rFonts w:hint="eastAsia" w:ascii="黑体" w:eastAsia="黑体"/>
          <w:sz w:val="30"/>
        </w:rPr>
        <w:t>第四条</w:t>
      </w:r>
      <w:r>
        <w:rPr>
          <w:rFonts w:hint="eastAsia" w:ascii="仿宋_GB2312" w:eastAsia="仿宋_GB2312"/>
          <w:sz w:val="30"/>
        </w:rPr>
        <w:t xml:space="preserve">  委托方须向安徽省粮食和物资储备保障中心（国家粮食安徽交易中心）提供《竞价交易委托书》、《承诺书》、竞价交易清单等相关文件。</w:t>
      </w:r>
    </w:p>
    <w:p w14:paraId="0236EA42">
      <w:pPr>
        <w:spacing w:line="560" w:lineRule="exact"/>
        <w:ind w:firstLine="600" w:firstLineChars="200"/>
        <w:rPr>
          <w:rFonts w:ascii="仿宋_GB2312" w:hAnsi="宋体" w:eastAsia="仿宋_GB2312"/>
          <w:sz w:val="30"/>
          <w:szCs w:val="30"/>
          <w:lang w:val="zh-CN"/>
        </w:rPr>
      </w:pPr>
      <w:r>
        <w:rPr>
          <w:rFonts w:hint="eastAsia" w:ascii="黑体" w:eastAsia="黑体"/>
          <w:sz w:val="30"/>
        </w:rPr>
        <w:t>第五条</w:t>
      </w:r>
      <w:r>
        <w:rPr>
          <w:rFonts w:hint="eastAsia" w:ascii="仿宋_GB2312" w:eastAsia="仿宋_GB2312"/>
          <w:sz w:val="30"/>
        </w:rPr>
        <w:t xml:space="preserve">  </w:t>
      </w:r>
      <w:r>
        <w:rPr>
          <w:rFonts w:hint="eastAsia" w:ascii="仿宋_GB2312" w:hAnsi="宋体" w:eastAsia="仿宋_GB2312"/>
          <w:sz w:val="30"/>
          <w:szCs w:val="30"/>
          <w:lang w:val="zh-CN"/>
        </w:rPr>
        <w:t>参加交易的</w:t>
      </w:r>
      <w:r>
        <w:rPr>
          <w:rFonts w:hint="eastAsia" w:ascii="仿宋_GB2312" w:eastAsia="仿宋_GB2312"/>
          <w:sz w:val="30"/>
        </w:rPr>
        <w:t>客户</w:t>
      </w:r>
      <w:r>
        <w:rPr>
          <w:rFonts w:hint="eastAsia" w:ascii="仿宋_GB2312" w:hAnsi="宋体" w:eastAsia="仿宋_GB2312"/>
          <w:sz w:val="30"/>
          <w:szCs w:val="30"/>
          <w:lang w:val="zh-CN"/>
        </w:rPr>
        <w:t>须交验企业营业执照副本及复印件、法定代表人签字并加盖单位公章的《交易授权书》、法人身份证复印件、交易代表身份证原件及复印件、单位公章或合同专用章。</w:t>
      </w:r>
    </w:p>
    <w:p w14:paraId="26D9384D">
      <w:pPr>
        <w:spacing w:line="560" w:lineRule="exact"/>
        <w:ind w:firstLine="602" w:firstLineChars="200"/>
        <w:rPr>
          <w:rFonts w:ascii="仿宋_GB2312" w:eastAsia="仿宋_GB2312"/>
          <w:b/>
          <w:bCs/>
          <w:color w:val="000000" w:themeColor="text1"/>
          <w:sz w:val="30"/>
          <w14:textFill>
            <w14:solidFill>
              <w14:schemeClr w14:val="tx1"/>
            </w14:solidFill>
          </w14:textFill>
        </w:rPr>
      </w:pPr>
      <w:r>
        <w:rPr>
          <w:rFonts w:hint="eastAsia" w:ascii="仿宋_GB2312" w:hAnsi="宋体" w:eastAsia="仿宋_GB2312"/>
          <w:b/>
          <w:bCs/>
          <w:color w:val="000000" w:themeColor="text1"/>
          <w:sz w:val="30"/>
          <w:szCs w:val="30"/>
          <w:lang w:val="zh-CN"/>
          <w14:textFill>
            <w14:solidFill>
              <w14:schemeClr w14:val="tx1"/>
            </w14:solidFill>
          </w14:textFill>
        </w:rPr>
        <w:t>参加交易</w:t>
      </w:r>
      <w:r>
        <w:rPr>
          <w:rFonts w:hint="eastAsia" w:ascii="仿宋_GB2312" w:hAnsi="宋体" w:eastAsia="仿宋_GB2312"/>
          <w:b/>
          <w:bCs/>
          <w:color w:val="000000" w:themeColor="text1"/>
          <w:sz w:val="30"/>
          <w:szCs w:val="30"/>
          <w14:textFill>
            <w14:solidFill>
              <w14:schemeClr w14:val="tx1"/>
            </w14:solidFill>
          </w14:textFill>
        </w:rPr>
        <w:t>客户</w:t>
      </w:r>
      <w:r>
        <w:rPr>
          <w:rFonts w:hint="eastAsia" w:ascii="仿宋_GB2312" w:hAnsi="宋体" w:eastAsia="仿宋_GB2312"/>
          <w:b/>
          <w:bCs/>
          <w:color w:val="000000" w:themeColor="text1"/>
          <w:sz w:val="30"/>
          <w:szCs w:val="30"/>
          <w:lang w:val="zh-CN"/>
          <w14:textFill>
            <w14:solidFill>
              <w14:schemeClr w14:val="tx1"/>
            </w14:solidFill>
          </w14:textFill>
        </w:rPr>
        <w:t>须</w:t>
      </w:r>
      <w:r>
        <w:rPr>
          <w:rFonts w:hint="eastAsia" w:ascii="仿宋_GB2312" w:hAnsi="宋体" w:eastAsia="仿宋_GB2312"/>
          <w:b/>
          <w:bCs/>
          <w:color w:val="000000" w:themeColor="text1"/>
          <w:sz w:val="30"/>
          <w:szCs w:val="30"/>
          <w14:textFill>
            <w14:solidFill>
              <w14:schemeClr w14:val="tx1"/>
            </w14:solidFill>
          </w14:textFill>
        </w:rPr>
        <w:t>在近五年内与委托方不存在因县级</w:t>
      </w:r>
      <w:r>
        <w:rPr>
          <w:rFonts w:hint="eastAsia" w:ascii="仿宋_GB2312" w:eastAsia="仿宋_GB2312"/>
          <w:b/>
          <w:bCs/>
          <w:color w:val="000000" w:themeColor="text1"/>
          <w:sz w:val="30"/>
          <w14:textFill>
            <w14:solidFill>
              <w14:schemeClr w14:val="tx1"/>
            </w14:solidFill>
          </w14:textFill>
        </w:rPr>
        <w:t>储备稻谷采购及销售产生</w:t>
      </w:r>
      <w:r>
        <w:rPr>
          <w:rFonts w:hint="eastAsia" w:ascii="仿宋_GB2312" w:hAnsi="宋体" w:eastAsia="仿宋_GB2312"/>
          <w:b/>
          <w:bCs/>
          <w:color w:val="000000" w:themeColor="text1"/>
          <w:sz w:val="30"/>
          <w:szCs w:val="30"/>
          <w14:textFill>
            <w14:solidFill>
              <w14:schemeClr w14:val="tx1"/>
            </w14:solidFill>
          </w14:textFill>
        </w:rPr>
        <w:t>诉讼纠纷。</w:t>
      </w:r>
    </w:p>
    <w:p w14:paraId="2296A51D">
      <w:pPr>
        <w:spacing w:line="560" w:lineRule="exact"/>
        <w:ind w:firstLine="600" w:firstLineChars="200"/>
        <w:rPr>
          <w:rFonts w:ascii="仿宋_GB2312" w:hAnsi="宋体" w:eastAsia="仿宋_GB2312"/>
          <w:sz w:val="30"/>
          <w:szCs w:val="30"/>
          <w:lang w:val="zh-CN"/>
        </w:rPr>
      </w:pPr>
      <w:bookmarkStart w:id="0" w:name="_GoBack"/>
      <w:bookmarkEnd w:id="0"/>
      <w:r>
        <w:rPr>
          <w:rFonts w:hint="eastAsia" w:ascii="仿宋_GB2312" w:eastAsia="仿宋_GB2312"/>
          <w:sz w:val="30"/>
        </w:rPr>
        <w:t>交易客户须向</w:t>
      </w:r>
      <w:r>
        <w:rPr>
          <w:rFonts w:hint="eastAsia" w:ascii="仿宋_GB2312" w:hAnsi="宋体" w:eastAsia="仿宋_GB2312"/>
          <w:sz w:val="30"/>
          <w:szCs w:val="30"/>
          <w:lang w:val="zh-CN"/>
        </w:rPr>
        <w:t>安徽省粮食和物资储备保障中心（国家粮食安徽交易中心）</w:t>
      </w:r>
      <w:r>
        <w:rPr>
          <w:rFonts w:hint="eastAsia" w:ascii="仿宋_GB2312" w:eastAsia="仿宋_GB2312"/>
          <w:sz w:val="30"/>
        </w:rPr>
        <w:t>预交保证</w:t>
      </w:r>
      <w:r>
        <w:rPr>
          <w:rFonts w:hint="eastAsia" w:ascii="仿宋_GB2312" w:eastAsia="仿宋_GB2312"/>
          <w:color w:val="000000"/>
          <w:sz w:val="30"/>
        </w:rPr>
        <w:t>金</w:t>
      </w:r>
      <w:r>
        <w:rPr>
          <w:rFonts w:ascii="仿宋_GB2312" w:eastAsia="仿宋_GB2312"/>
          <w:color w:val="000000"/>
          <w:sz w:val="30"/>
        </w:rPr>
        <w:t>110</w:t>
      </w:r>
      <w:r>
        <w:rPr>
          <w:rFonts w:hint="eastAsia" w:ascii="仿宋_GB2312" w:eastAsia="仿宋_GB2312"/>
          <w:color w:val="000000"/>
          <w:sz w:val="30"/>
        </w:rPr>
        <w:t>元/吨（含交易保证金</w:t>
      </w:r>
      <w:r>
        <w:rPr>
          <w:rFonts w:ascii="仿宋_GB2312" w:eastAsia="仿宋_GB2312"/>
          <w:color w:val="000000"/>
          <w:sz w:val="30"/>
        </w:rPr>
        <w:t>1</w:t>
      </w:r>
      <w:r>
        <w:rPr>
          <w:rFonts w:hint="eastAsia" w:ascii="仿宋_GB2312" w:eastAsia="仿宋_GB2312"/>
          <w:color w:val="000000"/>
          <w:sz w:val="30"/>
        </w:rPr>
        <w:t>0元/吨和履约保证金</w:t>
      </w:r>
      <w:r>
        <w:rPr>
          <w:rFonts w:ascii="仿宋_GB2312" w:eastAsia="仿宋_GB2312"/>
          <w:color w:val="000000"/>
          <w:sz w:val="30"/>
        </w:rPr>
        <w:t>1</w:t>
      </w:r>
      <w:r>
        <w:rPr>
          <w:rFonts w:hint="eastAsia" w:ascii="仿宋_GB2312" w:eastAsia="仿宋_GB2312"/>
          <w:color w:val="000000"/>
          <w:sz w:val="30"/>
        </w:rPr>
        <w:t>00元/吨）</w:t>
      </w:r>
      <w:r>
        <w:rPr>
          <w:rFonts w:hint="eastAsia" w:ascii="仿宋_GB2312" w:eastAsia="仿宋_GB2312"/>
          <w:sz w:val="30"/>
        </w:rPr>
        <w:t>，交易前必须到账，付款时应注明交易会名称并向</w:t>
      </w:r>
      <w:r>
        <w:rPr>
          <w:rFonts w:hint="eastAsia" w:ascii="仿宋_GB2312" w:hAnsi="宋体" w:eastAsia="仿宋_GB2312"/>
          <w:sz w:val="30"/>
          <w:szCs w:val="30"/>
          <w:lang w:val="zh-CN"/>
        </w:rPr>
        <w:t>安徽省粮食和物资储备保障中心（国家粮食安徽交易中心）进行确认。保证金不足者不能继续交易。</w:t>
      </w:r>
    </w:p>
    <w:p w14:paraId="61B07552">
      <w:pPr>
        <w:spacing w:line="56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安徽省粮食和物资储备保障中心（国家粮食安徽交易中心）保证金及结算账户：</w:t>
      </w:r>
    </w:p>
    <w:p w14:paraId="601C310E">
      <w:pPr>
        <w:widowControl/>
        <w:shd w:val="clear" w:color="auto" w:fill="FFFFFF"/>
        <w:wordWrap w:val="0"/>
        <w:spacing w:line="480" w:lineRule="auto"/>
        <w:ind w:firstLine="480"/>
        <w:jc w:val="left"/>
        <w:rPr>
          <w:rFonts w:ascii="仿宋_GB2312" w:hAnsi="宋体" w:eastAsia="仿宋_GB2312"/>
          <w:sz w:val="30"/>
          <w:szCs w:val="30"/>
          <w:lang w:val="zh-CN"/>
        </w:rPr>
      </w:pPr>
      <w:r>
        <w:rPr>
          <w:rFonts w:hint="eastAsia" w:ascii="仿宋_GB2312" w:hAnsi="宋体" w:eastAsia="仿宋_GB2312"/>
          <w:sz w:val="30"/>
          <w:szCs w:val="30"/>
          <w:lang w:val="zh-CN"/>
        </w:rPr>
        <w:t>收款单位名称：安徽省粮食和物资储备保障中心</w:t>
      </w:r>
    </w:p>
    <w:p w14:paraId="45CC4880">
      <w:pPr>
        <w:widowControl/>
        <w:shd w:val="clear" w:color="auto" w:fill="FFFFFF"/>
        <w:wordWrap w:val="0"/>
        <w:spacing w:line="480" w:lineRule="auto"/>
        <w:ind w:firstLine="480"/>
        <w:jc w:val="left"/>
        <w:rPr>
          <w:rFonts w:ascii="仿宋_GB2312" w:hAnsi="宋体" w:eastAsia="仿宋_GB2312"/>
          <w:sz w:val="30"/>
          <w:szCs w:val="30"/>
          <w:lang w:val="zh-CN"/>
        </w:rPr>
      </w:pPr>
      <w:r>
        <w:rPr>
          <w:rFonts w:hint="eastAsia" w:ascii="仿宋_GB2312" w:hAnsi="宋体" w:eastAsia="仿宋_GB2312"/>
          <w:sz w:val="30"/>
          <w:szCs w:val="30"/>
          <w:lang w:val="zh-CN"/>
        </w:rPr>
        <w:t>1、开户银行：中国农业发展银行合肥市金寨路支行 </w:t>
      </w:r>
    </w:p>
    <w:p w14:paraId="0A4C4F37">
      <w:pPr>
        <w:widowControl/>
        <w:shd w:val="clear" w:color="auto" w:fill="FFFFFF"/>
        <w:wordWrap w:val="0"/>
        <w:spacing w:line="480" w:lineRule="auto"/>
        <w:ind w:firstLine="480"/>
        <w:jc w:val="left"/>
        <w:rPr>
          <w:rFonts w:ascii="仿宋_GB2312" w:hAnsi="宋体" w:eastAsia="仿宋_GB2312"/>
          <w:sz w:val="30"/>
          <w:szCs w:val="30"/>
          <w:lang w:val="zh-CN"/>
        </w:rPr>
      </w:pPr>
      <w:r>
        <w:rPr>
          <w:rFonts w:hint="eastAsia" w:ascii="仿宋_GB2312" w:hAnsi="宋体" w:eastAsia="仿宋_GB2312"/>
          <w:sz w:val="30"/>
          <w:szCs w:val="30"/>
          <w:lang w:val="zh-CN"/>
        </w:rPr>
        <w:t>账 号：2033 4140 0101 0000 0260831；</w:t>
      </w:r>
    </w:p>
    <w:p w14:paraId="5461C8C9">
      <w:pPr>
        <w:widowControl/>
        <w:shd w:val="clear" w:color="auto" w:fill="FFFFFF"/>
        <w:wordWrap w:val="0"/>
        <w:spacing w:line="480" w:lineRule="auto"/>
        <w:ind w:firstLine="480"/>
        <w:jc w:val="left"/>
        <w:rPr>
          <w:rFonts w:ascii="仿宋_GB2312" w:hAnsi="宋体" w:eastAsia="仿宋_GB2312"/>
          <w:sz w:val="30"/>
          <w:szCs w:val="30"/>
          <w:lang w:val="zh-CN"/>
        </w:rPr>
      </w:pPr>
      <w:r>
        <w:rPr>
          <w:rFonts w:hint="eastAsia" w:ascii="仿宋_GB2312" w:hAnsi="宋体" w:eastAsia="仿宋_GB2312"/>
          <w:sz w:val="30"/>
          <w:szCs w:val="30"/>
          <w:lang w:val="zh-CN"/>
        </w:rPr>
        <w:t>2、开户银行：徽商银行合肥新华支行</w:t>
      </w:r>
    </w:p>
    <w:p w14:paraId="713259CD">
      <w:pPr>
        <w:widowControl/>
        <w:shd w:val="clear" w:color="auto" w:fill="FFFFFF"/>
        <w:wordWrap w:val="0"/>
        <w:spacing w:line="480" w:lineRule="auto"/>
        <w:ind w:firstLine="480"/>
        <w:jc w:val="left"/>
        <w:rPr>
          <w:rFonts w:ascii="仿宋_GB2312" w:hAnsi="宋体" w:eastAsia="仿宋_GB2312"/>
          <w:sz w:val="30"/>
          <w:szCs w:val="30"/>
          <w:lang w:val="zh-CN"/>
        </w:rPr>
      </w:pPr>
      <w:r>
        <w:rPr>
          <w:rFonts w:hint="eastAsia" w:ascii="仿宋_GB2312" w:hAnsi="宋体" w:eastAsia="仿宋_GB2312"/>
          <w:sz w:val="30"/>
          <w:szCs w:val="30"/>
          <w:lang w:val="zh-CN"/>
        </w:rPr>
        <w:t>账  号：5200 5068 3601 000002</w:t>
      </w:r>
    </w:p>
    <w:p w14:paraId="56CABBCF">
      <w:pPr>
        <w:autoSpaceDE w:val="0"/>
        <w:autoSpaceDN w:val="0"/>
        <w:adjustRightInd w:val="0"/>
        <w:ind w:firstLine="600" w:firstLineChars="200"/>
        <w:rPr>
          <w:rFonts w:ascii="仿宋_GB2312" w:hAnsi="宋体" w:eastAsia="仿宋_GB2312"/>
          <w:sz w:val="30"/>
          <w:szCs w:val="30"/>
          <w:lang w:val="zh-CN"/>
        </w:rPr>
      </w:pPr>
      <w:r>
        <w:rPr>
          <w:rFonts w:hint="eastAsia" w:ascii="黑体" w:eastAsia="黑体"/>
          <w:sz w:val="30"/>
        </w:rPr>
        <w:t>第六条</w:t>
      </w:r>
      <w:r>
        <w:rPr>
          <w:rFonts w:hint="eastAsia" w:ascii="仿宋_GB2312" w:eastAsia="仿宋_GB2312"/>
          <w:sz w:val="30"/>
        </w:rPr>
        <w:t xml:space="preserve">  交易客户通过资格审核并交纳保证金后，</w:t>
      </w:r>
      <w:r>
        <w:rPr>
          <w:rFonts w:hint="eastAsia" w:ascii="仿宋_GB2312" w:hAnsi="宋体" w:eastAsia="仿宋_GB2312"/>
          <w:sz w:val="30"/>
          <w:szCs w:val="30"/>
          <w:lang w:val="zh-CN"/>
        </w:rPr>
        <w:t>安徽省粮食和物资储备保障中心（国家粮食安徽交易中心）</w:t>
      </w:r>
      <w:r>
        <w:rPr>
          <w:rFonts w:hint="eastAsia" w:ascii="仿宋_GB2312" w:eastAsia="仿宋_GB2312"/>
          <w:sz w:val="30"/>
        </w:rPr>
        <w:t>向其发放交易代码、</w:t>
      </w:r>
      <w:r>
        <w:rPr>
          <w:rFonts w:hint="eastAsia" w:ascii="仿宋_GB2312" w:hAnsi="宋体" w:eastAsia="仿宋_GB2312"/>
          <w:sz w:val="30"/>
          <w:szCs w:val="30"/>
          <w:lang w:val="zh-CN"/>
        </w:rPr>
        <w:t>密码等相关资料</w:t>
      </w:r>
      <w:r>
        <w:rPr>
          <w:rFonts w:hint="eastAsia" w:ascii="仿宋_GB2312" w:eastAsia="仿宋_GB2312"/>
          <w:sz w:val="30"/>
        </w:rPr>
        <w:t>。交易代码、</w:t>
      </w:r>
      <w:r>
        <w:rPr>
          <w:rFonts w:hint="eastAsia" w:ascii="仿宋_GB2312" w:hAnsi="宋体" w:eastAsia="仿宋_GB2312"/>
          <w:sz w:val="30"/>
          <w:szCs w:val="30"/>
          <w:lang w:val="zh-CN"/>
        </w:rPr>
        <w:t>密码等相关资料为交易客户的资格凭证，属交易客户的商业机密，须妥善保管，如丢失或泄露责任自负。</w:t>
      </w:r>
    </w:p>
    <w:p w14:paraId="6E0E1426">
      <w:pPr>
        <w:spacing w:line="560" w:lineRule="exact"/>
        <w:ind w:firstLine="600" w:firstLineChars="200"/>
        <w:rPr>
          <w:rFonts w:ascii="仿宋_GB2312" w:eastAsia="仿宋_GB2312"/>
          <w:sz w:val="30"/>
        </w:rPr>
      </w:pPr>
      <w:r>
        <w:rPr>
          <w:rFonts w:hint="eastAsia" w:ascii="黑体" w:eastAsia="黑体"/>
          <w:sz w:val="30"/>
        </w:rPr>
        <w:t>第七条</w:t>
      </w:r>
      <w:r>
        <w:rPr>
          <w:rFonts w:hint="eastAsia" w:ascii="仿宋_GB2312" w:eastAsia="仿宋_GB2312"/>
          <w:sz w:val="30"/>
        </w:rPr>
        <w:t xml:space="preserve">  </w:t>
      </w:r>
      <w:r>
        <w:rPr>
          <w:rFonts w:hint="eastAsia" w:ascii="仿宋_GB2312" w:hAnsi="宋体" w:eastAsia="仿宋_GB2312"/>
          <w:sz w:val="30"/>
          <w:szCs w:val="30"/>
          <w:lang w:val="zh-CN"/>
        </w:rPr>
        <w:t>安徽省粮食和物资储备保障中心（国家粮食安徽交易中心）</w:t>
      </w:r>
      <w:r>
        <w:rPr>
          <w:rFonts w:hint="eastAsia" w:ascii="仿宋_GB2312" w:eastAsia="仿宋_GB2312"/>
          <w:sz w:val="30"/>
        </w:rPr>
        <w:t>在中国粮食网（www.cereal.com.cn）、国家粮食安徽交易中心（www.hfgtc.com）或交易大厅公告交易的相关信息，交易客户应及时了解。</w:t>
      </w:r>
    </w:p>
    <w:p w14:paraId="1863DC47">
      <w:pPr>
        <w:spacing w:line="800" w:lineRule="exact"/>
        <w:jc w:val="center"/>
        <w:rPr>
          <w:rFonts w:ascii="黑体" w:eastAsia="黑体"/>
          <w:bCs/>
          <w:sz w:val="32"/>
        </w:rPr>
      </w:pPr>
      <w:r>
        <w:rPr>
          <w:rFonts w:hint="eastAsia" w:ascii="黑体" w:eastAsia="黑体"/>
          <w:bCs/>
          <w:sz w:val="32"/>
        </w:rPr>
        <w:t>第三章  交易地点、时间</w:t>
      </w:r>
    </w:p>
    <w:p w14:paraId="27DB9948">
      <w:pPr>
        <w:ind w:firstLine="600" w:firstLineChars="200"/>
        <w:rPr>
          <w:rFonts w:ascii="仿宋_GB2312" w:eastAsia="仿宋_GB2312"/>
          <w:sz w:val="30"/>
        </w:rPr>
      </w:pPr>
      <w:r>
        <w:rPr>
          <w:rFonts w:hint="eastAsia" w:ascii="黑体" w:eastAsia="黑体"/>
          <w:sz w:val="30"/>
        </w:rPr>
        <w:t>第八条</w:t>
      </w:r>
      <w:r>
        <w:rPr>
          <w:rFonts w:hint="eastAsia" w:ascii="仿宋_GB2312" w:eastAsia="仿宋_GB2312"/>
          <w:sz w:val="30"/>
          <w:szCs w:val="22"/>
        </w:rPr>
        <w:t xml:space="preserve"> </w:t>
      </w:r>
      <w:r>
        <w:rPr>
          <w:rFonts w:hint="eastAsia" w:ascii="仿宋_GB2312" w:eastAsia="仿宋_GB2312"/>
          <w:sz w:val="30"/>
        </w:rPr>
        <w:t>现场交易地点：安徽省合肥市芜湖路319号良苑大厦三楼交易大厅，参加交易的会员企业也可以通过网上直接参加交易。</w:t>
      </w:r>
    </w:p>
    <w:p w14:paraId="62306B18">
      <w:pPr>
        <w:spacing w:line="560" w:lineRule="exact"/>
        <w:ind w:firstLine="600" w:firstLineChars="200"/>
        <w:rPr>
          <w:rFonts w:ascii="仿宋_GB2312" w:eastAsia="仿宋_GB2312"/>
          <w:sz w:val="30"/>
        </w:rPr>
      </w:pPr>
      <w:r>
        <w:rPr>
          <w:rFonts w:hint="eastAsia" w:ascii="黑体" w:eastAsia="黑体"/>
          <w:sz w:val="30"/>
        </w:rPr>
        <w:t>第九条</w:t>
      </w:r>
      <w:r>
        <w:rPr>
          <w:rFonts w:hint="eastAsia" w:ascii="仿宋_GB2312" w:eastAsia="仿宋_GB2312"/>
          <w:sz w:val="30"/>
        </w:rPr>
        <w:t xml:space="preserve">  交易时间</w:t>
      </w:r>
      <w:r>
        <w:rPr>
          <w:rFonts w:hint="eastAsia" w:ascii="仿宋_GB2312" w:eastAsia="仿宋_GB2312"/>
          <w:color w:val="000000"/>
          <w:sz w:val="30"/>
        </w:rPr>
        <w:t>在公告交易日进行 。</w:t>
      </w:r>
    </w:p>
    <w:p w14:paraId="0F3839AB">
      <w:pPr>
        <w:spacing w:line="560" w:lineRule="exact"/>
        <w:ind w:firstLine="600" w:firstLineChars="200"/>
        <w:rPr>
          <w:rFonts w:ascii="仿宋_GB2312" w:eastAsia="仿宋_GB2312"/>
          <w:sz w:val="30"/>
        </w:rPr>
      </w:pPr>
      <w:r>
        <w:rPr>
          <w:rFonts w:hint="eastAsia" w:ascii="黑体" w:eastAsia="黑体"/>
          <w:sz w:val="30"/>
        </w:rPr>
        <w:t>第十条</w:t>
      </w:r>
      <w:r>
        <w:rPr>
          <w:rFonts w:ascii="仿宋_GB2312" w:eastAsia="仿宋_GB2312"/>
          <w:sz w:val="30"/>
        </w:rPr>
        <w:t xml:space="preserve">  </w:t>
      </w:r>
      <w:r>
        <w:rPr>
          <w:rFonts w:hint="eastAsia" w:ascii="仿宋_GB2312" w:eastAsia="仿宋_GB2312"/>
          <w:sz w:val="30"/>
        </w:rPr>
        <w:t>安徽省粮食和物资储备保障中心（国家粮食安徽交易中心）将根据交易的规模，允许交易客户派出1－2名交易代表入场交易，交易代表凭交易入场券提前入场，做好交易准备。</w:t>
      </w:r>
    </w:p>
    <w:p w14:paraId="4179E058">
      <w:pPr>
        <w:spacing w:line="560" w:lineRule="exact"/>
        <w:ind w:firstLine="600" w:firstLineChars="200"/>
        <w:rPr>
          <w:rFonts w:ascii="仿宋_GB2312" w:eastAsia="仿宋_GB2312"/>
          <w:sz w:val="30"/>
        </w:rPr>
      </w:pPr>
      <w:r>
        <w:rPr>
          <w:rFonts w:hint="eastAsia" w:ascii="黑体" w:eastAsia="黑体"/>
          <w:sz w:val="30"/>
        </w:rPr>
        <w:t>第十一条</w:t>
      </w:r>
      <w:r>
        <w:rPr>
          <w:rFonts w:hint="eastAsia" w:ascii="仿宋_GB2312" w:eastAsia="仿宋_GB2312"/>
          <w:sz w:val="30"/>
        </w:rPr>
        <w:t xml:space="preserve">  交易时间如有变更，</w:t>
      </w:r>
      <w:r>
        <w:rPr>
          <w:rFonts w:hint="eastAsia" w:ascii="仿宋_GB2312" w:hAnsi="宋体" w:eastAsia="仿宋_GB2312"/>
          <w:sz w:val="30"/>
          <w:szCs w:val="30"/>
          <w:lang w:val="zh-CN"/>
        </w:rPr>
        <w:t>安徽省粮食和物资储备保障中心（国家粮食安徽交易中心）</w:t>
      </w:r>
      <w:r>
        <w:rPr>
          <w:rFonts w:hint="eastAsia" w:ascii="仿宋_GB2312" w:eastAsia="仿宋_GB2312"/>
          <w:sz w:val="30"/>
        </w:rPr>
        <w:t>将提前公告。</w:t>
      </w:r>
    </w:p>
    <w:p w14:paraId="291FE478">
      <w:pPr>
        <w:spacing w:line="800" w:lineRule="exact"/>
        <w:jc w:val="center"/>
        <w:rPr>
          <w:rFonts w:ascii="黑体" w:eastAsia="黑体"/>
          <w:bCs/>
          <w:sz w:val="32"/>
        </w:rPr>
      </w:pPr>
      <w:r>
        <w:rPr>
          <w:rFonts w:hint="eastAsia" w:ascii="黑体" w:eastAsia="黑体"/>
          <w:bCs/>
          <w:sz w:val="32"/>
        </w:rPr>
        <w:t>第四章  交易秩序</w:t>
      </w:r>
    </w:p>
    <w:p w14:paraId="2227A608">
      <w:pPr>
        <w:spacing w:line="560" w:lineRule="exact"/>
        <w:ind w:firstLine="600" w:firstLineChars="200"/>
        <w:rPr>
          <w:rFonts w:ascii="仿宋_GB2312" w:eastAsia="仿宋_GB2312"/>
          <w:sz w:val="30"/>
        </w:rPr>
      </w:pPr>
      <w:r>
        <w:rPr>
          <w:rFonts w:hint="eastAsia" w:ascii="黑体" w:eastAsia="黑体"/>
          <w:sz w:val="30"/>
        </w:rPr>
        <w:t>第十二条</w:t>
      </w:r>
      <w:r>
        <w:rPr>
          <w:rFonts w:hint="eastAsia" w:ascii="仿宋_GB2312" w:eastAsia="仿宋_GB2312"/>
          <w:sz w:val="30"/>
        </w:rPr>
        <w:t xml:space="preserve">  </w:t>
      </w:r>
      <w:r>
        <w:rPr>
          <w:rFonts w:hint="eastAsia" w:ascii="仿宋_GB2312" w:hAnsi="宋体" w:eastAsia="仿宋_GB2312"/>
          <w:sz w:val="30"/>
          <w:szCs w:val="30"/>
          <w:lang w:val="zh-CN"/>
        </w:rPr>
        <w:t>交易大厅内禁止吸烟、打电话和大声喧哗。进场人员应爱护交易设备、设施，自觉维护场内秩序，服从工作人员指挥。</w:t>
      </w:r>
    </w:p>
    <w:p w14:paraId="782962B9">
      <w:pPr>
        <w:spacing w:line="560" w:lineRule="exact"/>
        <w:ind w:firstLine="600" w:firstLineChars="200"/>
        <w:rPr>
          <w:rFonts w:ascii="仿宋_GB2312" w:eastAsia="仿宋_GB2312"/>
          <w:sz w:val="30"/>
        </w:rPr>
      </w:pPr>
      <w:r>
        <w:rPr>
          <w:rFonts w:hint="eastAsia" w:ascii="黑体" w:eastAsia="黑体"/>
          <w:sz w:val="30"/>
        </w:rPr>
        <w:t>第十三条</w:t>
      </w:r>
      <w:r>
        <w:rPr>
          <w:rFonts w:hint="eastAsia" w:ascii="仿宋_GB2312" w:eastAsia="仿宋_GB2312"/>
          <w:sz w:val="30"/>
        </w:rPr>
        <w:t xml:space="preserve">  </w:t>
      </w:r>
      <w:r>
        <w:rPr>
          <w:rFonts w:hint="eastAsia" w:ascii="仿宋_GB2312" w:hAnsi="宋体" w:eastAsia="仿宋_GB2312"/>
          <w:sz w:val="30"/>
          <w:szCs w:val="30"/>
          <w:lang w:val="zh-CN"/>
        </w:rPr>
        <w:t>交易活动必须按照安徽省粮食和物资储备保障中心（国家粮食安徽交易中心）确定的交易方式、交易程序进行。安徽省粮食和物资储备保障中心（国家粮食安徽交易中心）有权根据现场情况进行调整，但应按</w:t>
      </w:r>
      <w:r>
        <w:rPr>
          <w:rFonts w:hint="eastAsia" w:ascii="仿宋_GB2312" w:eastAsia="仿宋_GB2312"/>
          <w:sz w:val="30"/>
        </w:rPr>
        <w:t>本细则</w:t>
      </w:r>
      <w:r>
        <w:rPr>
          <w:rFonts w:hint="eastAsia" w:ascii="仿宋_GB2312" w:hAnsi="宋体" w:eastAsia="仿宋_GB2312"/>
          <w:sz w:val="30"/>
          <w:szCs w:val="30"/>
          <w:lang w:val="zh-CN"/>
        </w:rPr>
        <w:t>第七条所列方式进行公告。</w:t>
      </w:r>
    </w:p>
    <w:p w14:paraId="34B7C22C">
      <w:pPr>
        <w:spacing w:line="560" w:lineRule="exact"/>
        <w:ind w:firstLine="600" w:firstLineChars="200"/>
        <w:rPr>
          <w:rFonts w:ascii="仿宋_GB2312" w:eastAsia="仿宋_GB2312"/>
          <w:sz w:val="30"/>
        </w:rPr>
      </w:pPr>
      <w:r>
        <w:rPr>
          <w:rFonts w:hint="eastAsia" w:ascii="黑体" w:eastAsia="黑体"/>
          <w:sz w:val="30"/>
        </w:rPr>
        <w:t>第十四条</w:t>
      </w:r>
      <w:r>
        <w:rPr>
          <w:rFonts w:hint="eastAsia" w:ascii="仿宋_GB2312" w:eastAsia="仿宋_GB2312"/>
          <w:sz w:val="30"/>
        </w:rPr>
        <w:t xml:space="preserve">  </w:t>
      </w:r>
      <w:r>
        <w:rPr>
          <w:rFonts w:hint="eastAsia" w:ascii="仿宋_GB2312" w:hAnsi="宋体" w:eastAsia="仿宋_GB2312"/>
          <w:sz w:val="30"/>
          <w:szCs w:val="30"/>
        </w:rPr>
        <w:t>禁止恶意串通交易价格等损害他人利益的一切行为。对严重扰乱交易秩序的人员，</w:t>
      </w:r>
      <w:r>
        <w:rPr>
          <w:rFonts w:hint="eastAsia" w:ascii="仿宋_GB2312" w:hAnsi="宋体" w:eastAsia="仿宋_GB2312"/>
          <w:sz w:val="30"/>
          <w:szCs w:val="30"/>
          <w:lang w:val="zh-CN"/>
        </w:rPr>
        <w:t>安徽省粮食和物资储备保障中心（国家粮食安徽交易中心）</w:t>
      </w:r>
      <w:r>
        <w:rPr>
          <w:rFonts w:hint="eastAsia" w:ascii="仿宋_GB2312" w:hAnsi="宋体" w:eastAsia="仿宋_GB2312"/>
          <w:sz w:val="30"/>
          <w:szCs w:val="30"/>
        </w:rPr>
        <w:t>有权取消其交易资格并</w:t>
      </w:r>
      <w:r>
        <w:rPr>
          <w:rFonts w:hint="eastAsia" w:ascii="仿宋_GB2312" w:eastAsia="仿宋_GB2312"/>
          <w:sz w:val="30"/>
        </w:rPr>
        <w:t>责令其离场。</w:t>
      </w:r>
    </w:p>
    <w:p w14:paraId="72ABAAE0">
      <w:pPr>
        <w:spacing w:line="800" w:lineRule="exact"/>
        <w:jc w:val="center"/>
        <w:rPr>
          <w:rFonts w:ascii="黑体" w:eastAsia="黑体"/>
          <w:bCs/>
          <w:sz w:val="32"/>
          <w:szCs w:val="32"/>
        </w:rPr>
      </w:pPr>
      <w:r>
        <w:rPr>
          <w:rFonts w:hint="eastAsia" w:ascii="黑体" w:eastAsia="黑体"/>
          <w:bCs/>
          <w:sz w:val="32"/>
          <w:szCs w:val="32"/>
        </w:rPr>
        <w:t xml:space="preserve">第五章  </w:t>
      </w:r>
      <w:r>
        <w:rPr>
          <w:rFonts w:hint="eastAsia" w:ascii="黑体" w:hAnsi="宋体" w:eastAsia="黑体"/>
          <w:bCs/>
          <w:sz w:val="32"/>
          <w:szCs w:val="32"/>
        </w:rPr>
        <w:t>交易程序</w:t>
      </w:r>
    </w:p>
    <w:p w14:paraId="71371DC7">
      <w:pPr>
        <w:spacing w:line="560" w:lineRule="exact"/>
        <w:ind w:firstLine="600" w:firstLineChars="200"/>
        <w:rPr>
          <w:rFonts w:ascii="仿宋_GB2312" w:eastAsia="仿宋_GB2312"/>
          <w:bCs/>
          <w:color w:val="000000" w:themeColor="text1"/>
          <w:sz w:val="30"/>
          <w14:textFill>
            <w14:solidFill>
              <w14:schemeClr w14:val="tx1"/>
            </w14:solidFill>
          </w14:textFill>
        </w:rPr>
      </w:pPr>
      <w:r>
        <w:rPr>
          <w:rFonts w:hint="eastAsia" w:ascii="黑体" w:eastAsia="黑体"/>
          <w:sz w:val="30"/>
        </w:rPr>
        <w:t>第十五条</w:t>
      </w:r>
      <w:r>
        <w:rPr>
          <w:rFonts w:hint="eastAsia" w:ascii="仿宋_GB2312" w:eastAsia="仿宋_GB2312"/>
          <w:sz w:val="30"/>
        </w:rPr>
        <w:t xml:space="preserve"> </w:t>
      </w:r>
      <w:r>
        <w:rPr>
          <w:rFonts w:hint="eastAsia" w:ascii="仿宋_GB2312" w:eastAsia="仿宋_GB2312"/>
          <w:color w:val="FF0000"/>
          <w:sz w:val="30"/>
        </w:rPr>
        <w:t xml:space="preserve"> </w:t>
      </w:r>
      <w:r>
        <w:rPr>
          <w:rFonts w:hint="eastAsia" w:ascii="仿宋_GB2312" w:hAnsi="宋体" w:eastAsia="仿宋_GB2312"/>
          <w:bCs/>
          <w:color w:val="000000" w:themeColor="text1"/>
          <w:sz w:val="30"/>
          <w:szCs w:val="30"/>
          <w:lang w:val="zh-CN"/>
          <w14:textFill>
            <w14:solidFill>
              <w14:schemeClr w14:val="tx1"/>
            </w14:solidFill>
          </w14:textFill>
        </w:rPr>
        <w:t>交易报价为</w:t>
      </w:r>
      <w:r>
        <w:rPr>
          <w:rFonts w:hint="eastAsia" w:ascii="仿宋_GB2312" w:eastAsia="仿宋_GB2312"/>
          <w:bCs/>
          <w:color w:val="000000" w:themeColor="text1"/>
          <w:sz w:val="30"/>
          <w14:textFill>
            <w14:solidFill>
              <w14:schemeClr w14:val="tx1"/>
            </w14:solidFill>
          </w14:textFill>
        </w:rPr>
        <w:t>卖方仓口价，卖方仓口汽车板散装交货。</w:t>
      </w:r>
    </w:p>
    <w:p w14:paraId="233B447C">
      <w:pPr>
        <w:spacing w:line="560" w:lineRule="exact"/>
        <w:ind w:firstLine="600" w:firstLineChars="200"/>
        <w:rPr>
          <w:rFonts w:ascii="仿宋_GB2312" w:eastAsia="仿宋_GB2312"/>
          <w:sz w:val="30"/>
        </w:rPr>
      </w:pPr>
      <w:r>
        <w:rPr>
          <w:rFonts w:hint="eastAsia" w:ascii="黑体" w:eastAsia="黑体"/>
          <w:sz w:val="30"/>
        </w:rPr>
        <w:t>第十六条</w:t>
      </w:r>
      <w:r>
        <w:rPr>
          <w:rFonts w:hint="eastAsia" w:ascii="仿宋_GB2312" w:eastAsia="仿宋_GB2312"/>
          <w:sz w:val="30"/>
        </w:rPr>
        <w:t xml:space="preserve">  本次交易活动，采取现场及网上计算机竞价的方式进行。竞价交易按委托标的序号顺序，依次按交易节进行。</w:t>
      </w:r>
    </w:p>
    <w:p w14:paraId="24CEB5D4">
      <w:pPr>
        <w:spacing w:line="560" w:lineRule="exact"/>
        <w:ind w:firstLine="600" w:firstLineChars="200"/>
        <w:rPr>
          <w:rFonts w:ascii="仿宋_GB2312" w:hAnsi="宋体"/>
          <w:kern w:val="0"/>
          <w:sz w:val="30"/>
          <w:szCs w:val="30"/>
        </w:rPr>
      </w:pPr>
      <w:r>
        <w:rPr>
          <w:rFonts w:hint="eastAsia" w:ascii="黑体" w:eastAsia="黑体"/>
          <w:sz w:val="30"/>
        </w:rPr>
        <w:t xml:space="preserve">第十七条  </w:t>
      </w:r>
      <w:r>
        <w:rPr>
          <w:rFonts w:hint="eastAsia" w:ascii="仿宋_GB2312" w:hAnsi="宋体" w:eastAsia="仿宋_GB2312"/>
          <w:kern w:val="0"/>
          <w:sz w:val="30"/>
          <w:szCs w:val="30"/>
        </w:rPr>
        <w:t>开市后，</w:t>
      </w:r>
      <w:r>
        <w:rPr>
          <w:rFonts w:hint="eastAsia" w:ascii="仿宋_GB2312" w:hAnsi="宋体" w:eastAsia="仿宋_GB2312"/>
          <w:color w:val="000000"/>
          <w:kern w:val="0"/>
          <w:sz w:val="30"/>
          <w:szCs w:val="30"/>
        </w:rPr>
        <w:t>竞买人利</w:t>
      </w:r>
      <w:r>
        <w:rPr>
          <w:rFonts w:hint="eastAsia" w:ascii="仿宋_GB2312" w:hAnsi="宋体" w:eastAsia="仿宋_GB2312"/>
          <w:kern w:val="0"/>
          <w:sz w:val="30"/>
          <w:szCs w:val="30"/>
        </w:rPr>
        <w:t>用计算机按交易节逐节进行交易。每笔交易从标底价开始报价，并按每吨10元的价位递升报价。</w:t>
      </w:r>
    </w:p>
    <w:p w14:paraId="341F1446">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63F7685B">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67B53907">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1DEA4B21">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竞买人在新价位应价并被系统确认后，前一价位的应价自动失效。竞买人报价后，在规定的时间内如无其它竞买人以更高的价格报价，则以该报价为标的的成交价，该竞买人为标的的买方。</w:t>
      </w:r>
    </w:p>
    <w:p w14:paraId="1E84FAFC">
      <w:pPr>
        <w:spacing w:line="560" w:lineRule="exact"/>
        <w:ind w:firstLine="600" w:firstLineChars="200"/>
        <w:rPr>
          <w:rFonts w:ascii="仿宋_GB2312" w:eastAsia="仿宋_GB2312"/>
          <w:sz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rPr>
        <w:t>交易成交双方签订安徽省粮食和物资储备保障中心（国家粮食安徽交易中心）制订的买卖合同。</w:t>
      </w:r>
    </w:p>
    <w:p w14:paraId="2F145753">
      <w:pPr>
        <w:spacing w:line="560" w:lineRule="exact"/>
        <w:ind w:firstLine="624" w:firstLineChars="200"/>
        <w:rPr>
          <w:rFonts w:ascii="仿宋_GB2312" w:eastAsia="仿宋_GB2312"/>
          <w:color w:val="FF0000"/>
          <w:sz w:val="3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rPr>
        <w:t>，并严格按照合同条款执行。</w:t>
      </w:r>
    </w:p>
    <w:p w14:paraId="29FE9952">
      <w:pPr>
        <w:spacing w:line="800" w:lineRule="exact"/>
        <w:jc w:val="center"/>
        <w:rPr>
          <w:rFonts w:ascii="黑体" w:eastAsia="黑体"/>
          <w:bCs/>
          <w:sz w:val="32"/>
        </w:rPr>
      </w:pPr>
      <w:r>
        <w:rPr>
          <w:rFonts w:hint="eastAsia" w:ascii="黑体" w:eastAsia="黑体"/>
          <w:bCs/>
          <w:sz w:val="32"/>
        </w:rPr>
        <w:t>第六章  交割和结算</w:t>
      </w:r>
    </w:p>
    <w:p w14:paraId="077B5167">
      <w:pPr>
        <w:spacing w:line="560" w:lineRule="exact"/>
        <w:ind w:firstLine="600" w:firstLineChars="200"/>
        <w:rPr>
          <w:rFonts w:ascii="仿宋_GB2312" w:eastAsia="仿宋_GB2312"/>
          <w:sz w:val="30"/>
        </w:rPr>
      </w:pPr>
      <w:r>
        <w:rPr>
          <w:rFonts w:hint="eastAsia" w:ascii="黑体" w:eastAsia="黑体"/>
          <w:sz w:val="30"/>
        </w:rPr>
        <w:t>第二十三条</w:t>
      </w:r>
      <w:r>
        <w:rPr>
          <w:rFonts w:hint="eastAsia" w:ascii="仿宋_GB2312" w:eastAsia="仿宋_GB2312"/>
          <w:sz w:val="30"/>
        </w:rPr>
        <w:t xml:space="preserve">  </w:t>
      </w:r>
      <w:r>
        <w:rPr>
          <w:rFonts w:hint="eastAsia" w:ascii="仿宋_GB2312" w:hAnsi="宋体" w:eastAsia="仿宋_GB2312"/>
          <w:sz w:val="30"/>
          <w:szCs w:val="30"/>
          <w:lang w:val="zh-CN"/>
        </w:rPr>
        <w:t>买卖双方应严格履行合同规定的责任义务，并享受合同规定的权利。</w:t>
      </w:r>
    </w:p>
    <w:p w14:paraId="3E42880D">
      <w:pPr>
        <w:spacing w:line="560" w:lineRule="exact"/>
        <w:ind w:firstLine="630" w:firstLineChars="210"/>
        <w:rPr>
          <w:rFonts w:hint="eastAsia" w:ascii="仿宋_GB2312" w:eastAsia="仿宋_GB2312"/>
          <w:color w:val="FF0000"/>
          <w:sz w:val="30"/>
        </w:rPr>
      </w:pPr>
      <w:r>
        <w:rPr>
          <w:rFonts w:hint="eastAsia" w:ascii="黑体" w:eastAsia="黑体"/>
          <w:sz w:val="30"/>
        </w:rPr>
        <w:t>第二十四条</w:t>
      </w:r>
      <w:r>
        <w:rPr>
          <w:rFonts w:hint="eastAsia" w:ascii="仿宋_GB2312" w:eastAsia="仿宋_GB2312"/>
          <w:sz w:val="30"/>
        </w:rPr>
        <w:t xml:space="preserve"> </w:t>
      </w:r>
      <w:r>
        <w:rPr>
          <w:rFonts w:hint="eastAsia" w:ascii="仿宋_GB2312" w:eastAsia="仿宋_GB2312"/>
          <w:color w:val="FF0000"/>
          <w:sz w:val="30"/>
        </w:rPr>
        <w:t xml:space="preserve"> </w:t>
      </w:r>
      <w:r>
        <w:rPr>
          <w:rFonts w:hint="eastAsia" w:ascii="仿宋_GB2312" w:eastAsia="仿宋_GB2312"/>
          <w:color w:val="auto"/>
          <w:sz w:val="30"/>
        </w:rPr>
        <w:t>本次交易履约期限自成交之日起</w:t>
      </w:r>
      <w:r>
        <w:rPr>
          <w:rFonts w:hint="eastAsia" w:ascii="仿宋_GB2312" w:eastAsia="仿宋_GB2312"/>
          <w:color w:val="auto"/>
          <w:sz w:val="30"/>
          <w:lang w:val="en-US" w:eastAsia="zh-CN"/>
        </w:rPr>
        <w:t>50</w:t>
      </w:r>
      <w:r>
        <w:rPr>
          <w:rFonts w:hint="eastAsia" w:ascii="仿宋_GB2312" w:eastAsia="仿宋_GB2312"/>
          <w:color w:val="auto"/>
          <w:sz w:val="30"/>
        </w:rPr>
        <w:t>天，逾期出库，视为违约。</w:t>
      </w:r>
      <w:r>
        <w:rPr>
          <w:rFonts w:hint="eastAsia" w:ascii="仿宋_GB2312" w:eastAsia="仿宋_GB2312"/>
          <w:color w:val="auto"/>
          <w:sz w:val="30"/>
          <w:lang w:val="zh-CN"/>
        </w:rPr>
        <w:t>买方必</w:t>
      </w:r>
      <w:r>
        <w:rPr>
          <w:rFonts w:hint="eastAsia" w:ascii="仿宋_GB2312" w:eastAsia="仿宋_GB2312"/>
          <w:color w:val="auto"/>
          <w:sz w:val="30"/>
        </w:rPr>
        <w:t>须在自成交之日起30日内将全额货款一次或分批汇入本细则第五条所列安徽省粮食和物资储备保障中心（国家粮食安徽交易中心）结算账户，否则视为违约。</w:t>
      </w:r>
    </w:p>
    <w:p w14:paraId="0E58077B">
      <w:pPr>
        <w:spacing w:line="560" w:lineRule="exact"/>
        <w:ind w:firstLine="630" w:firstLineChars="210"/>
        <w:rPr>
          <w:rFonts w:ascii="仿宋_GB2312" w:eastAsia="仿宋_GB2312"/>
          <w:sz w:val="30"/>
        </w:rPr>
      </w:pPr>
      <w:r>
        <w:rPr>
          <w:rFonts w:hint="eastAsia" w:ascii="仿宋_GB2312" w:hAnsi="宋体" w:eastAsia="仿宋_GB2312"/>
          <w:kern w:val="0"/>
          <w:sz w:val="30"/>
          <w:szCs w:val="30"/>
        </w:rPr>
        <w:t>安徽省粮食和物资储备保障中心（国家粮食安徽交易中心）</w:t>
      </w:r>
      <w:r>
        <w:rPr>
          <w:rFonts w:hint="eastAsia" w:ascii="仿宋_GB2312" w:eastAsia="仿宋_GB2312"/>
          <w:sz w:val="30"/>
        </w:rPr>
        <w:t>收到货款后，</w:t>
      </w:r>
      <w:r>
        <w:rPr>
          <w:rFonts w:hint="eastAsia" w:ascii="仿宋_GB2312" w:hAnsi="宋体" w:eastAsia="仿宋_GB2312"/>
          <w:sz w:val="30"/>
          <w:szCs w:val="30"/>
          <w:lang w:val="zh-CN"/>
        </w:rPr>
        <w:t>按买方要求（或按成交时间先后顺序），按货款折算的粮食数量,向买方开具《出库通知单》</w:t>
      </w:r>
      <w:r>
        <w:rPr>
          <w:rFonts w:hint="eastAsia" w:ascii="仿宋_GB2312" w:eastAsia="仿宋_GB2312"/>
          <w:sz w:val="30"/>
        </w:rPr>
        <w:t>。</w:t>
      </w:r>
    </w:p>
    <w:p w14:paraId="581ABD86">
      <w:pPr>
        <w:spacing w:line="560" w:lineRule="exact"/>
        <w:ind w:firstLine="630" w:firstLineChars="210"/>
        <w:rPr>
          <w:rFonts w:ascii="仿宋_GB2312" w:eastAsia="仿宋_GB2312"/>
          <w:sz w:val="30"/>
        </w:rPr>
      </w:pPr>
      <w:r>
        <w:rPr>
          <w:rFonts w:hint="eastAsia" w:ascii="仿宋_GB2312" w:eastAsia="仿宋_GB2312"/>
          <w:sz w:val="30"/>
        </w:rPr>
        <w:t>买方应在合同执行期内凭《</w:t>
      </w:r>
      <w:r>
        <w:rPr>
          <w:rFonts w:hint="eastAsia" w:ascii="仿宋_GB2312" w:hAnsi="宋体" w:eastAsia="仿宋_GB2312"/>
          <w:sz w:val="30"/>
          <w:szCs w:val="30"/>
          <w:lang w:val="zh-CN"/>
        </w:rPr>
        <w:t>出库通知单</w:t>
      </w:r>
      <w:r>
        <w:rPr>
          <w:rFonts w:hint="eastAsia" w:ascii="仿宋_GB2312" w:eastAsia="仿宋_GB2312"/>
          <w:sz w:val="30"/>
        </w:rPr>
        <w:t>》和有效身份证明到交货地点提货。卖方如对《出库通知单》存在异议，应及时向</w:t>
      </w:r>
      <w:r>
        <w:rPr>
          <w:rFonts w:hint="eastAsia" w:ascii="仿宋_GB2312" w:hAnsi="宋体" w:eastAsia="仿宋_GB2312"/>
          <w:kern w:val="0"/>
          <w:sz w:val="30"/>
          <w:szCs w:val="30"/>
        </w:rPr>
        <w:t>安徽省粮食和物资储备保障中心（国家粮食安徽交易中心）</w:t>
      </w:r>
      <w:r>
        <w:rPr>
          <w:rFonts w:hint="eastAsia" w:ascii="仿宋_GB2312" w:eastAsia="仿宋_GB2312"/>
          <w:sz w:val="30"/>
        </w:rPr>
        <w:t>确认后方可发货。卖方应按《出库通知单》数量发货，发货完毕后，双方签订《验收确认单》。</w:t>
      </w:r>
    </w:p>
    <w:p w14:paraId="1AF93BFD">
      <w:pPr>
        <w:spacing w:line="560" w:lineRule="exact"/>
        <w:ind w:firstLine="630" w:firstLineChars="210"/>
        <w:rPr>
          <w:rFonts w:ascii="仿宋_GB2312" w:eastAsia="仿宋_GB2312"/>
          <w:sz w:val="30"/>
        </w:rPr>
      </w:pPr>
      <w:r>
        <w:rPr>
          <w:rFonts w:hint="eastAsia" w:ascii="仿宋_GB2312" w:hAnsi="宋体" w:eastAsia="仿宋_GB2312"/>
          <w:kern w:val="0"/>
          <w:sz w:val="30"/>
          <w:szCs w:val="30"/>
        </w:rPr>
        <w:t>安徽省粮食和物资储备保障中心（国家粮食安徽交易中心）</w:t>
      </w:r>
      <w:r>
        <w:rPr>
          <w:rFonts w:hint="eastAsia" w:ascii="仿宋_GB2312" w:eastAsia="仿宋_GB2312"/>
          <w:sz w:val="30"/>
        </w:rPr>
        <w:t>根据买卖双方签署的《验收确认单》，扣除手续费及未履约部分的保证金后向卖方拨付相应的货款。</w:t>
      </w:r>
    </w:p>
    <w:p w14:paraId="3E97D468">
      <w:pPr>
        <w:spacing w:line="560" w:lineRule="exact"/>
        <w:ind w:firstLine="600" w:firstLineChars="200"/>
        <w:rPr>
          <w:rFonts w:ascii="仿宋_GB2312" w:hAnsi="宋体"/>
          <w:spacing w:val="6"/>
          <w:sz w:val="30"/>
          <w:szCs w:val="30"/>
          <w:lang w:val="zh-CN"/>
        </w:rPr>
      </w:pPr>
      <w:r>
        <w:rPr>
          <w:rFonts w:hint="eastAsia" w:ascii="黑体" w:eastAsia="黑体"/>
          <w:sz w:val="30"/>
        </w:rPr>
        <w:t>第二十五条</w:t>
      </w:r>
      <w:r>
        <w:rPr>
          <w:rFonts w:hint="eastAsia" w:ascii="仿宋_GB2312" w:eastAsia="仿宋_GB2312"/>
          <w:sz w:val="30"/>
        </w:rPr>
        <w:t xml:space="preserve">  具体发运方式由买卖双方协商。买方需要包装物时，包装物由买方自理或者委托卖方承储库代办，其价格由买卖双方协商议定，如无法协商，按散装交货。卖方负责把粮食装上库内车板。</w:t>
      </w:r>
    </w:p>
    <w:p w14:paraId="7A9C00B5">
      <w:pPr>
        <w:spacing w:line="560" w:lineRule="exact"/>
        <w:ind w:firstLine="600" w:firstLineChars="200"/>
        <w:rPr>
          <w:rFonts w:ascii="仿宋_GB2312" w:hAnsi="宋体" w:eastAsia="仿宋_GB2312"/>
          <w:sz w:val="30"/>
          <w:szCs w:val="30"/>
          <w:lang w:val="zh-CN"/>
        </w:rPr>
      </w:pPr>
      <w:r>
        <w:rPr>
          <w:rFonts w:hint="eastAsia" w:ascii="黑体" w:eastAsia="黑体"/>
          <w:sz w:val="30"/>
        </w:rPr>
        <w:t>第二十六条</w:t>
      </w:r>
      <w:r>
        <w:rPr>
          <w:rFonts w:hint="eastAsia" w:ascii="仿宋_GB2312" w:eastAsia="仿宋_GB2312"/>
          <w:sz w:val="30"/>
        </w:rPr>
        <w:t xml:space="preserve">  买方提货时，</w:t>
      </w:r>
      <w:r>
        <w:rPr>
          <w:rFonts w:hint="eastAsia" w:ascii="仿宋_GB2312" w:hAnsi="宋体" w:eastAsia="仿宋_GB2312"/>
          <w:sz w:val="30"/>
          <w:szCs w:val="30"/>
          <w:lang w:val="zh-CN"/>
        </w:rPr>
        <w:t>粮食质量以现存的质量指标为准。</w:t>
      </w:r>
      <w:r>
        <w:rPr>
          <w:rFonts w:hint="eastAsia" w:ascii="仿宋_GB2312" w:eastAsia="仿宋_GB2312"/>
          <w:sz w:val="30"/>
        </w:rPr>
        <w:t>数量以合同为依据，</w:t>
      </w:r>
      <w:r>
        <w:rPr>
          <w:rFonts w:hint="eastAsia" w:ascii="仿宋_GB2312" w:hAnsi="宋体" w:eastAsia="仿宋_GB2312"/>
          <w:sz w:val="30"/>
          <w:szCs w:val="30"/>
          <w:lang w:val="zh-CN"/>
        </w:rPr>
        <w:t>以承储库计量衡器为基准。承储库计量衡器必须是经具有国家认可资质的技术监督部门鉴定合格的，且在鉴定的有效期内。承储库应当允许买方对计量衡器的准确性进行确认。</w:t>
      </w:r>
    </w:p>
    <w:p w14:paraId="60A9F57D">
      <w:pPr>
        <w:spacing w:line="560" w:lineRule="exact"/>
        <w:ind w:firstLine="600" w:firstLineChars="200"/>
        <w:rPr>
          <w:rFonts w:ascii="仿宋_GB2312" w:eastAsia="仿宋_GB2312"/>
          <w:sz w:val="30"/>
        </w:rPr>
      </w:pPr>
      <w:r>
        <w:rPr>
          <w:rFonts w:hint="eastAsia" w:ascii="仿宋_GB2312" w:hAnsi="宋体" w:eastAsia="仿宋_GB2312"/>
          <w:sz w:val="30"/>
          <w:szCs w:val="30"/>
          <w:lang w:val="zh-CN"/>
        </w:rPr>
        <w:t>出库时，卖方应按国家发改委等有关部门制订的《粮食质量监管实施办法(试行)》等相关法规提供质检报告。</w:t>
      </w:r>
    </w:p>
    <w:p w14:paraId="75BDD152">
      <w:pPr>
        <w:spacing w:line="560" w:lineRule="exact"/>
        <w:ind w:firstLine="602" w:firstLineChars="200"/>
        <w:rPr>
          <w:rFonts w:hint="eastAsia" w:ascii="仿宋_GB2312" w:hAnsi="宋体" w:eastAsia="仿宋_GB2312"/>
          <w:b/>
          <w:bCs/>
          <w:sz w:val="30"/>
          <w:szCs w:val="30"/>
          <w:lang w:val="zh-CN"/>
        </w:rPr>
      </w:pPr>
      <w:r>
        <w:rPr>
          <w:rFonts w:hint="eastAsia" w:ascii="仿宋_GB2312" w:hAnsi="宋体" w:eastAsia="仿宋_GB2312"/>
          <w:b/>
          <w:bCs/>
          <w:sz w:val="30"/>
          <w:szCs w:val="30"/>
          <w:lang w:val="zh-CN"/>
        </w:rPr>
        <w:t>储存期间的保管损耗由承储库点自行负担，结算按实际交割数量为准。根据（国粮发[2010]178 号）文件执行，对销售出库粮食进行水分、杂质增量。</w:t>
      </w:r>
    </w:p>
    <w:p w14:paraId="2B14C723">
      <w:pPr>
        <w:spacing w:line="560" w:lineRule="exact"/>
        <w:ind w:firstLine="602" w:firstLineChars="200"/>
        <w:rPr>
          <w:rFonts w:hint="eastAsia" w:ascii="仿宋_GB2312" w:hAnsi="宋体" w:eastAsia="仿宋_GB2312"/>
          <w:b/>
          <w:bCs/>
          <w:sz w:val="30"/>
          <w:szCs w:val="30"/>
          <w:lang w:val="zh-CN"/>
        </w:rPr>
      </w:pPr>
      <w:r>
        <w:rPr>
          <w:rFonts w:hint="eastAsia" w:ascii="仿宋_GB2312" w:hAnsi="宋体" w:eastAsia="仿宋_GB2312"/>
          <w:b/>
          <w:bCs/>
          <w:sz w:val="30"/>
          <w:szCs w:val="30"/>
          <w:lang w:val="zh-CN"/>
        </w:rPr>
        <w:t>数量结算方法：实际出库数量以卖方发货库点电子磅单为准，在此基础上买方需承担水份1.5%的增量。</w:t>
      </w:r>
    </w:p>
    <w:p w14:paraId="6DC5C07A">
      <w:pPr>
        <w:spacing w:line="560" w:lineRule="exact"/>
        <w:ind w:firstLine="602" w:firstLineChars="200"/>
        <w:rPr>
          <w:rFonts w:hint="eastAsia" w:ascii="仿宋_GB2312" w:hAnsi="宋体" w:eastAsia="仿宋_GB2312"/>
          <w:b/>
          <w:bCs/>
          <w:sz w:val="30"/>
          <w:szCs w:val="30"/>
          <w:lang w:val="zh-CN"/>
        </w:rPr>
      </w:pPr>
      <w:r>
        <w:rPr>
          <w:rFonts w:hint="eastAsia" w:ascii="仿宋_GB2312" w:hAnsi="宋体" w:eastAsia="仿宋_GB2312"/>
          <w:b/>
          <w:bCs/>
          <w:sz w:val="30"/>
          <w:szCs w:val="30"/>
          <w:lang w:val="zh-CN"/>
        </w:rPr>
        <w:t>如出现溢余或损耗，都由原中标方按照合同中标价负责结算。买方最后提货时都必须出清仓内所有粮食。</w:t>
      </w:r>
    </w:p>
    <w:p w14:paraId="03AF02CB">
      <w:pPr>
        <w:spacing w:line="560" w:lineRule="exact"/>
        <w:ind w:firstLine="600" w:firstLineChars="200"/>
        <w:rPr>
          <w:rFonts w:ascii="仿宋_GB2312" w:hAnsi="宋体" w:eastAsia="仿宋_GB2312"/>
          <w:sz w:val="30"/>
          <w:szCs w:val="30"/>
          <w:lang w:val="zh-CN"/>
        </w:rPr>
      </w:pPr>
      <w:r>
        <w:rPr>
          <w:rFonts w:hint="eastAsia" w:ascii="黑体" w:eastAsia="黑体"/>
          <w:sz w:val="30"/>
        </w:rPr>
        <w:t>第二十七条</w:t>
      </w:r>
      <w:r>
        <w:rPr>
          <w:rFonts w:hint="eastAsia" w:ascii="仿宋_GB2312" w:eastAsia="仿宋_GB2312"/>
          <w:sz w:val="30"/>
        </w:rPr>
        <w:t xml:space="preserve">  买方</w:t>
      </w:r>
      <w:r>
        <w:rPr>
          <w:rFonts w:hint="eastAsia" w:ascii="仿宋_GB2312" w:hAnsi="宋体" w:eastAsia="仿宋_GB2312"/>
          <w:sz w:val="30"/>
          <w:szCs w:val="30"/>
          <w:lang w:val="zh-CN"/>
        </w:rPr>
        <w:t>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4E9E1410">
      <w:pPr>
        <w:autoSpaceDE w:val="0"/>
        <w:autoSpaceDN w:val="0"/>
        <w:adjustRightInd w:val="0"/>
        <w:spacing w:line="56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因买方原因在合同规定的交货期内货物未全部运出的，视同交割完毕，安徽省粮食和物资储备保障中心（国家粮食安徽交易中心）与卖方结清货款。</w:t>
      </w:r>
    </w:p>
    <w:p w14:paraId="26D45332">
      <w:pPr>
        <w:spacing w:line="56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买方如有异议，在规定的合同到期日后5日内必须向安徽省粮食和物资储备保障中心（国家粮食安徽交易中心）书面提出。如买方未提出异议，在规定的合同到期日</w:t>
      </w:r>
      <w:r>
        <w:rPr>
          <w:rFonts w:hint="eastAsia" w:ascii="仿宋_GB2312" w:hAnsi="宋体" w:eastAsia="仿宋_GB2312"/>
          <w:sz w:val="30"/>
          <w:szCs w:val="30"/>
        </w:rPr>
        <w:t>7</w:t>
      </w:r>
      <w:r>
        <w:rPr>
          <w:rFonts w:hint="eastAsia" w:ascii="仿宋_GB2312" w:hAnsi="宋体" w:eastAsia="仿宋_GB2312"/>
          <w:sz w:val="30"/>
          <w:szCs w:val="30"/>
          <w:lang w:val="zh-CN"/>
        </w:rPr>
        <w:t>日内仍未收到《验收确认单》，视为合同交割完毕，安徽省粮食和物资储备保障中心（国家粮食安徽交易中心）与卖方结清货款。</w:t>
      </w:r>
    </w:p>
    <w:p w14:paraId="73562190">
      <w:pPr>
        <w:spacing w:line="560" w:lineRule="exact"/>
        <w:ind w:firstLine="600" w:firstLineChars="200"/>
        <w:rPr>
          <w:rFonts w:ascii="仿宋_GB2312" w:eastAsia="仿宋_GB2312"/>
          <w:sz w:val="30"/>
        </w:rPr>
      </w:pPr>
      <w:r>
        <w:rPr>
          <w:rFonts w:hint="eastAsia" w:ascii="黑体" w:eastAsia="黑体"/>
          <w:sz w:val="30"/>
        </w:rPr>
        <w:t>第二十八条</w:t>
      </w:r>
      <w:r>
        <w:rPr>
          <w:rFonts w:hint="eastAsia" w:ascii="仿宋_GB2312" w:eastAsia="仿宋_GB2312"/>
          <w:sz w:val="30"/>
        </w:rPr>
        <w:t xml:space="preserve"> </w:t>
      </w:r>
      <w:r>
        <w:rPr>
          <w:rFonts w:hint="eastAsia" w:ascii="仿宋_GB2312" w:hAnsi="宋体" w:eastAsia="仿宋_GB2312"/>
          <w:sz w:val="30"/>
          <w:szCs w:val="30"/>
          <w:lang w:val="zh-CN"/>
        </w:rPr>
        <w:t>安徽省粮食和物资储备保障中心（国家粮食安徽交易中心）</w:t>
      </w:r>
      <w:r>
        <w:rPr>
          <w:rFonts w:hint="eastAsia" w:ascii="仿宋_GB2312" w:eastAsia="仿宋_GB2312"/>
          <w:sz w:val="30"/>
        </w:rPr>
        <w:t>向买方按合同金额的2‰收取手续费，手续费从货款或保证金中扣除。</w:t>
      </w:r>
    </w:p>
    <w:p w14:paraId="72756864">
      <w:pPr>
        <w:spacing w:line="560" w:lineRule="exact"/>
        <w:ind w:firstLine="600" w:firstLineChars="200"/>
        <w:rPr>
          <w:rFonts w:ascii="仿宋_GB2312" w:eastAsia="仿宋_GB2312"/>
          <w:sz w:val="30"/>
        </w:rPr>
      </w:pPr>
      <w:r>
        <w:rPr>
          <w:rFonts w:hint="eastAsia" w:ascii="黑体" w:eastAsia="黑体"/>
          <w:sz w:val="30"/>
        </w:rPr>
        <w:t>第二十九条</w:t>
      </w:r>
      <w:r>
        <w:rPr>
          <w:rFonts w:hint="eastAsia" w:ascii="仿宋_GB2312" w:eastAsia="仿宋_GB2312"/>
          <w:sz w:val="30"/>
        </w:rPr>
        <w:t xml:space="preserve"> </w:t>
      </w:r>
      <w:r>
        <w:rPr>
          <w:rFonts w:hint="eastAsia" w:ascii="仿宋_GB2312" w:hAnsi="宋体" w:eastAsia="仿宋_GB2312"/>
          <w:sz w:val="30"/>
          <w:szCs w:val="30"/>
          <w:lang w:val="zh-CN"/>
        </w:rPr>
        <w:t>买方预交的履约保证金，在成交后可转作货款</w:t>
      </w:r>
      <w:r>
        <w:rPr>
          <w:rFonts w:hint="eastAsia" w:ascii="仿宋_GB2312" w:eastAsia="仿宋_GB2312"/>
          <w:sz w:val="30"/>
        </w:rPr>
        <w:t>。没有成交的，在交易会结束后，凭</w:t>
      </w:r>
      <w:r>
        <w:rPr>
          <w:rFonts w:hint="eastAsia" w:ascii="仿宋_GB2312" w:hAnsi="宋体" w:eastAsia="仿宋_GB2312"/>
          <w:sz w:val="30"/>
          <w:szCs w:val="30"/>
          <w:lang w:val="zh-CN"/>
        </w:rPr>
        <w:t>相关手续申请退回</w:t>
      </w:r>
      <w:r>
        <w:rPr>
          <w:rFonts w:hint="eastAsia" w:ascii="仿宋_GB2312" w:eastAsia="仿宋_GB2312"/>
          <w:sz w:val="30"/>
        </w:rPr>
        <w:t>，经</w:t>
      </w:r>
      <w:r>
        <w:rPr>
          <w:rFonts w:hint="eastAsia" w:ascii="仿宋_GB2312" w:hAnsi="宋体" w:eastAsia="仿宋_GB2312"/>
          <w:sz w:val="30"/>
          <w:szCs w:val="30"/>
          <w:lang w:val="zh-CN"/>
        </w:rPr>
        <w:t>安徽省粮食和物资储备保障中心（国家粮食安徽交易中心）</w:t>
      </w:r>
      <w:r>
        <w:rPr>
          <w:rFonts w:hint="eastAsia" w:ascii="仿宋_GB2312" w:eastAsia="仿宋_GB2312"/>
          <w:sz w:val="30"/>
        </w:rPr>
        <w:t>核实后，2个工作日内退回预交的履约保证金和交易保证金。</w:t>
      </w:r>
      <w:r>
        <w:rPr>
          <w:rFonts w:hint="eastAsia" w:ascii="仿宋_GB2312" w:hAnsi="宋体" w:eastAsia="仿宋_GB2312"/>
          <w:sz w:val="30"/>
          <w:szCs w:val="30"/>
          <w:lang w:val="zh-CN"/>
        </w:rPr>
        <w:t>对于部分成交的，未成交部分对应的交易保证金和履约保证金，按上述规定退回，也可转为货款。</w:t>
      </w:r>
    </w:p>
    <w:p w14:paraId="509D0803">
      <w:pPr>
        <w:spacing w:line="560" w:lineRule="exact"/>
        <w:ind w:firstLine="640" w:firstLineChars="200"/>
        <w:jc w:val="center"/>
        <w:rPr>
          <w:rFonts w:ascii="黑体" w:eastAsia="黑体"/>
          <w:bCs/>
          <w:sz w:val="32"/>
        </w:rPr>
      </w:pPr>
      <w:r>
        <w:rPr>
          <w:rFonts w:hint="eastAsia" w:ascii="黑体" w:eastAsia="黑体"/>
          <w:bCs/>
          <w:sz w:val="32"/>
        </w:rPr>
        <w:t>第七章  违约处罚</w:t>
      </w:r>
    </w:p>
    <w:p w14:paraId="2C7E1D16">
      <w:pPr>
        <w:spacing w:line="560" w:lineRule="exact"/>
        <w:ind w:firstLine="600" w:firstLineChars="200"/>
        <w:rPr>
          <w:rFonts w:ascii="仿宋_GB2312" w:hAnsi="宋体" w:eastAsia="仿宋_GB2312"/>
          <w:sz w:val="30"/>
          <w:szCs w:val="30"/>
          <w:lang w:val="zh-CN"/>
        </w:rPr>
      </w:pPr>
      <w:r>
        <w:rPr>
          <w:rFonts w:hint="eastAsia" w:ascii="黑体" w:eastAsia="黑体"/>
          <w:sz w:val="30"/>
        </w:rPr>
        <w:t>第三十条</w:t>
      </w:r>
      <w:r>
        <w:rPr>
          <w:rFonts w:hint="eastAsia" w:ascii="仿宋_GB2312" w:eastAsia="仿宋_GB2312"/>
          <w:sz w:val="30"/>
        </w:rPr>
        <w:t xml:space="preserve">  </w:t>
      </w:r>
      <w:r>
        <w:rPr>
          <w:rFonts w:hint="eastAsia" w:ascii="仿宋_GB2312" w:hAnsi="宋体" w:eastAsia="仿宋_GB2312"/>
          <w:sz w:val="30"/>
          <w:szCs w:val="30"/>
          <w:lang w:val="zh-CN"/>
        </w:rPr>
        <w:t>交易成交后，</w:t>
      </w:r>
      <w:r>
        <w:rPr>
          <w:rFonts w:hint="eastAsia" w:ascii="仿宋_GB2312" w:hAnsi="宋体" w:eastAsia="仿宋_GB2312"/>
          <w:color w:val="000000" w:themeColor="text1"/>
          <w:sz w:val="30"/>
          <w:szCs w:val="30"/>
          <w14:textFill>
            <w14:solidFill>
              <w14:schemeClr w14:val="tx1"/>
            </w14:solidFill>
          </w14:textFill>
        </w:rPr>
        <w:t>除不可抗力外，</w:t>
      </w:r>
      <w:r>
        <w:rPr>
          <w:rFonts w:hint="eastAsia" w:ascii="仿宋_GB2312" w:hAnsi="宋体" w:eastAsia="仿宋_GB2312"/>
          <w:sz w:val="30"/>
          <w:szCs w:val="30"/>
          <w:lang w:val="zh-CN"/>
        </w:rPr>
        <w:t>买方不能在规定的期限内将全额货款汇至安徽省粮食和物资储备保障中心（国家粮食安徽交易中心）指定账户的，视为买方违约，合同终止，由安徽省粮食和物资储备保障中心（国家粮食安徽交易中心）按本细则第五条所列标准，从买方交纳的保证金或货款中扣除相应的履约保证金和交易保证金，分别支付给卖方和安徽省粮食和物资储备保障中心（国家粮食安徽交易中心）。</w:t>
      </w:r>
    </w:p>
    <w:p w14:paraId="2CA49855">
      <w:pPr>
        <w:spacing w:line="520" w:lineRule="exact"/>
        <w:ind w:firstLine="600" w:firstLineChars="200"/>
        <w:rPr>
          <w:rFonts w:hint="eastAsia" w:ascii="仿宋_GB2312" w:eastAsia="仿宋_GB2312"/>
          <w:sz w:val="30"/>
          <w:lang w:val="zh-CN"/>
        </w:rPr>
      </w:pPr>
      <w:r>
        <w:rPr>
          <w:rFonts w:hint="eastAsia" w:ascii="黑体" w:eastAsia="黑体"/>
          <w:sz w:val="30"/>
        </w:rPr>
        <w:t>第三十一条</w:t>
      </w:r>
      <w:r>
        <w:rPr>
          <w:rFonts w:hint="eastAsia" w:ascii="仿宋_GB2312" w:eastAsia="仿宋_GB2312"/>
          <w:sz w:val="30"/>
        </w:rPr>
        <w:t xml:space="preserve">  </w:t>
      </w:r>
      <w:r>
        <w:rPr>
          <w:rFonts w:hint="eastAsia" w:ascii="仿宋_GB2312" w:eastAsia="仿宋_GB2312"/>
          <w:sz w:val="30"/>
          <w:lang w:val="zh-CN"/>
        </w:rPr>
        <w:t>卖方承储库未按合同规定的时间、质量、数量交货，视为卖方违约，合同终止，安徽省粮食和物资储备保障中心（国家粮食安徽交易中心）为双方结清已履约部分货款，并从卖方保证金或货款中扣除相应的履约保证金和交易保证金，分别支付给买方和安徽省粮食和物资储备保障中心（国家粮食安徽交易中心）。</w:t>
      </w:r>
    </w:p>
    <w:p w14:paraId="64F98FCA">
      <w:pPr>
        <w:spacing w:line="520" w:lineRule="exact"/>
        <w:ind w:firstLine="602" w:firstLineChars="200"/>
        <w:rPr>
          <w:rFonts w:ascii="仿宋_GB2312" w:hAnsi="宋体" w:eastAsia="仿宋_GB2312"/>
          <w:b/>
          <w:bCs/>
          <w:spacing w:val="6"/>
          <w:sz w:val="30"/>
          <w:szCs w:val="30"/>
          <w:lang w:val="zh-CN"/>
        </w:rPr>
      </w:pPr>
      <w:r>
        <w:rPr>
          <w:rFonts w:hint="eastAsia" w:ascii="仿宋_GB2312" w:eastAsia="仿宋_GB2312"/>
          <w:b/>
          <w:bCs/>
          <w:sz w:val="30"/>
        </w:rPr>
        <w:t>买方未按本细则第二十四条履行出</w:t>
      </w:r>
      <w:r>
        <w:rPr>
          <w:rFonts w:hint="eastAsia" w:ascii="仿宋_GB2312" w:eastAsia="仿宋_GB2312"/>
          <w:b/>
          <w:bCs/>
          <w:sz w:val="30"/>
          <w:lang w:val="zh-CN"/>
        </w:rPr>
        <w:t>库</w:t>
      </w:r>
      <w:r>
        <w:rPr>
          <w:rFonts w:hint="eastAsia" w:ascii="仿宋_GB2312" w:eastAsia="仿宋_GB2312"/>
          <w:b/>
          <w:bCs/>
          <w:sz w:val="30"/>
        </w:rPr>
        <w:t>义务，自逾期之日起每日按未出库稻谷数量，以94元／吨／年向卖方支付仓储费用。买方自收到卖方催告函之日起 10日内，仍未出清稻谷，则卖方有权对仓内剩余稻谷进行移仓处置（包括露天堆）。移仓产生的稻谷装卸费、运输费和新仓储场所仓储费等全部费用，由买方承担。在移仓过程中，如造成人身损害、稻谷毁损及其他财产损失，由买方承担全部赔偿责任。因此给卖方造成的实际损失，由买方承担全部赔偿责任及合理费用，包括但不限于诉讼费、律师费、保全费、交通费及取证费等。</w:t>
      </w:r>
    </w:p>
    <w:p w14:paraId="404EE156">
      <w:pPr>
        <w:spacing w:line="560" w:lineRule="exact"/>
        <w:ind w:firstLine="600" w:firstLineChars="200"/>
        <w:rPr>
          <w:rFonts w:ascii="仿宋_GB2312" w:eastAsia="仿宋_GB2312"/>
          <w:sz w:val="30"/>
        </w:rPr>
      </w:pPr>
      <w:r>
        <w:rPr>
          <w:rFonts w:hint="eastAsia" w:ascii="黑体" w:eastAsia="黑体"/>
          <w:sz w:val="30"/>
        </w:rPr>
        <w:t>第三十二条</w:t>
      </w:r>
      <w:r>
        <w:rPr>
          <w:rFonts w:hint="eastAsia" w:ascii="仿宋_GB2312" w:eastAsia="仿宋_GB2312"/>
          <w:sz w:val="30"/>
        </w:rPr>
        <w:t xml:space="preserve">  买卖双方的任何一方由于不可抗拒的因素不能履行或者不能完全履行合同时，应在3日内以书面形式向</w:t>
      </w:r>
      <w:r>
        <w:rPr>
          <w:rFonts w:hint="eastAsia" w:ascii="仿宋_GB2312" w:hAnsi="宋体" w:eastAsia="仿宋_GB2312"/>
          <w:sz w:val="30"/>
          <w:szCs w:val="30"/>
          <w:lang w:val="zh-CN"/>
        </w:rPr>
        <w:t>安徽省粮食和物资储备保障中心（国家粮食安徽交易中心）</w:t>
      </w:r>
      <w:r>
        <w:rPr>
          <w:rFonts w:hint="eastAsia" w:ascii="仿宋_GB2312" w:eastAsia="仿宋_GB2312"/>
          <w:sz w:val="30"/>
        </w:rPr>
        <w:t>提出申请并经认可后，可延期履行合同或解除合同，否则以违约处理。</w:t>
      </w:r>
    </w:p>
    <w:p w14:paraId="1CE1D346">
      <w:pPr>
        <w:spacing w:line="560" w:lineRule="exact"/>
        <w:ind w:firstLine="600" w:firstLineChars="200"/>
        <w:rPr>
          <w:rFonts w:ascii="仿宋_GB2312" w:eastAsia="仿宋_GB2312"/>
          <w:color w:val="000000" w:themeColor="text1"/>
          <w:sz w:val="30"/>
          <w14:textFill>
            <w14:solidFill>
              <w14:schemeClr w14:val="tx1"/>
            </w14:solidFill>
          </w14:textFill>
        </w:rPr>
      </w:pPr>
      <w:r>
        <w:rPr>
          <w:rFonts w:hint="eastAsia" w:ascii="黑体" w:eastAsia="黑体"/>
          <w:sz w:val="30"/>
        </w:rPr>
        <w:t>第三十三条</w:t>
      </w:r>
      <w:r>
        <w:rPr>
          <w:rFonts w:hint="eastAsia" w:ascii="仿宋_GB2312" w:eastAsia="仿宋_GB2312"/>
          <w:sz w:val="30"/>
        </w:rPr>
        <w:t xml:space="preserve">  买卖双方除上述情况外，一方不能履行或者不能完全履行合同时，另一方应及时以书面形式报</w:t>
      </w:r>
      <w:r>
        <w:rPr>
          <w:rFonts w:hint="eastAsia" w:ascii="仿宋_GB2312" w:hAnsi="宋体" w:eastAsia="仿宋_GB2312"/>
          <w:sz w:val="30"/>
          <w:szCs w:val="30"/>
          <w:lang w:val="zh-CN"/>
        </w:rPr>
        <w:t>安徽省粮食和物资储备保障中心（国家粮食安徽交易中心）</w:t>
      </w:r>
      <w:r>
        <w:rPr>
          <w:rFonts w:hint="eastAsia" w:ascii="仿宋_GB2312" w:eastAsia="仿宋_GB2312"/>
          <w:sz w:val="30"/>
        </w:rPr>
        <w:t>备案，并积极与对方协商解决；</w:t>
      </w:r>
      <w:r>
        <w:rPr>
          <w:rFonts w:hint="eastAsia" w:ascii="仿宋_GB2312" w:eastAsia="仿宋_GB2312"/>
          <w:color w:val="000000" w:themeColor="text1"/>
          <w:sz w:val="30"/>
          <w14:textFill>
            <w14:solidFill>
              <w14:schemeClr w14:val="tx1"/>
            </w14:solidFill>
          </w14:textFill>
        </w:rPr>
        <w:t>协商不一致的，双方均应向歙县人民法院起诉。</w:t>
      </w:r>
    </w:p>
    <w:p w14:paraId="4292C7ED">
      <w:pPr>
        <w:spacing w:line="800" w:lineRule="exact"/>
        <w:jc w:val="center"/>
        <w:rPr>
          <w:rFonts w:ascii="黑体" w:eastAsia="黑体"/>
          <w:bCs/>
          <w:sz w:val="32"/>
        </w:rPr>
      </w:pPr>
      <w:r>
        <w:rPr>
          <w:rFonts w:hint="eastAsia" w:ascii="黑体" w:eastAsia="黑体"/>
          <w:bCs/>
          <w:sz w:val="32"/>
        </w:rPr>
        <w:t>第八章  附 则</w:t>
      </w:r>
    </w:p>
    <w:p w14:paraId="4198E4B0">
      <w:pPr>
        <w:spacing w:line="560" w:lineRule="exact"/>
        <w:ind w:firstLine="600" w:firstLineChars="200"/>
        <w:rPr>
          <w:rFonts w:ascii="仿宋_GB2312" w:eastAsia="仿宋_GB2312"/>
          <w:sz w:val="30"/>
        </w:rPr>
      </w:pPr>
      <w:r>
        <w:rPr>
          <w:rFonts w:hint="eastAsia" w:ascii="黑体" w:eastAsia="黑体"/>
          <w:sz w:val="30"/>
        </w:rPr>
        <w:t>第三十四条</w:t>
      </w:r>
      <w:r>
        <w:rPr>
          <w:rFonts w:hint="eastAsia" w:ascii="仿宋_GB2312" w:eastAsia="仿宋_GB2312"/>
          <w:sz w:val="30"/>
        </w:rPr>
        <w:t xml:space="preserve">  </w:t>
      </w:r>
      <w:r>
        <w:rPr>
          <w:rFonts w:hint="eastAsia"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4F501356">
      <w:pPr>
        <w:spacing w:line="560" w:lineRule="exact"/>
        <w:ind w:firstLine="602" w:firstLineChars="200"/>
        <w:rPr>
          <w:rFonts w:ascii="仿宋_GB2312" w:eastAsia="仿宋_GB2312"/>
          <w:color w:val="000000" w:themeColor="text1"/>
          <w:sz w:val="30"/>
          <w14:textFill>
            <w14:solidFill>
              <w14:schemeClr w14:val="tx1"/>
            </w14:solidFill>
          </w14:textFill>
        </w:rPr>
      </w:pPr>
      <w:r>
        <w:rPr>
          <w:rFonts w:hint="eastAsia" w:ascii="仿宋_GB2312" w:hAnsi="宋体" w:eastAsia="仿宋_GB2312"/>
          <w:b/>
          <w:bCs/>
          <w:color w:val="000000" w:themeColor="text1"/>
          <w:sz w:val="30"/>
          <w:szCs w:val="30"/>
          <w14:textFill>
            <w14:solidFill>
              <w14:schemeClr w14:val="tx1"/>
            </w14:solidFill>
          </w14:textFill>
        </w:rPr>
        <w:t xml:space="preserve">第三十五条 </w:t>
      </w:r>
      <w:r>
        <w:rPr>
          <w:rFonts w:hint="eastAsia" w:ascii="仿宋_GB2312" w:hAnsi="宋体" w:eastAsia="仿宋_GB2312"/>
          <w:color w:val="000000" w:themeColor="text1"/>
          <w:sz w:val="30"/>
          <w:szCs w:val="30"/>
          <w14:textFill>
            <w14:solidFill>
              <w14:schemeClr w14:val="tx1"/>
            </w14:solidFill>
          </w14:textFill>
        </w:rPr>
        <w:t xml:space="preserve"> </w:t>
      </w:r>
      <w:r>
        <w:rPr>
          <w:rFonts w:hint="eastAsia" w:ascii="仿宋_GB2312" w:eastAsia="仿宋_GB2312"/>
          <w:color w:val="000000" w:themeColor="text1"/>
          <w:sz w:val="30"/>
          <w14:textFill>
            <w14:solidFill>
              <w14:schemeClr w14:val="tx1"/>
            </w14:solidFill>
          </w14:textFill>
        </w:rPr>
        <w:t>买卖双方签订的《地方储备粮竞价交易购销合同》未尽事宜，须另行签订《补充协议》，《补充协议》与《地方储备粮竞价交易购销合同》具有同等法律效力。</w:t>
      </w:r>
    </w:p>
    <w:p w14:paraId="3813A1A0">
      <w:pPr>
        <w:spacing w:line="560" w:lineRule="exact"/>
        <w:ind w:firstLine="600" w:firstLineChars="200"/>
        <w:rPr>
          <w:rFonts w:ascii="仿宋_GB2312" w:eastAsia="仿宋_GB2312"/>
          <w:sz w:val="30"/>
        </w:rPr>
      </w:pPr>
      <w:r>
        <w:rPr>
          <w:rFonts w:hint="eastAsia" w:ascii="黑体" w:eastAsia="黑体"/>
          <w:sz w:val="30"/>
        </w:rPr>
        <w:t xml:space="preserve">第三十六条  </w:t>
      </w:r>
      <w:r>
        <w:rPr>
          <w:rFonts w:hint="eastAsia" w:ascii="仿宋_GB2312" w:hAnsi="宋体" w:eastAsia="仿宋_GB2312"/>
          <w:sz w:val="30"/>
          <w:szCs w:val="30"/>
          <w:lang w:val="zh-CN"/>
        </w:rPr>
        <w:t>本交易细则由安徽省粮食和物资储备保障中心（国家粮食安徽交易中心）负责解释。</w:t>
      </w:r>
    </w:p>
    <w:sectPr>
      <w:footerReference r:id="rId3" w:type="default"/>
      <w:footerReference r:id="rId4" w:type="even"/>
      <w:pgSz w:w="11906" w:h="16838"/>
      <w:pgMar w:top="1446" w:right="1588" w:bottom="1446" w:left="1588" w:header="1701" w:footer="1021"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F6E5E">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7</w:t>
    </w:r>
    <w:r>
      <w:fldChar w:fldCharType="end"/>
    </w:r>
  </w:p>
  <w:p w14:paraId="79CCCEDD">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44158C">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1</w:t>
    </w:r>
    <w:r>
      <w:fldChar w:fldCharType="end"/>
    </w:r>
  </w:p>
  <w:p w14:paraId="65467430">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drawingGridHorizontalSpacing w:val="105"/>
  <w:drawingGridVerticalSpacing w:val="156"/>
  <w:noPunctuationKerning w:val="1"/>
  <w:characterSpacingControl w:val="compressPunctuation"/>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yN2M5NTNlMmQ2YTgzNGFmMGM1NTQ5YmQ1YTMxMTEifQ=="/>
  </w:docVars>
  <w:rsids>
    <w:rsidRoot w:val="00F07820"/>
    <w:rsid w:val="00012826"/>
    <w:rsid w:val="00014906"/>
    <w:rsid w:val="00040094"/>
    <w:rsid w:val="00042F81"/>
    <w:rsid w:val="00046D8E"/>
    <w:rsid w:val="00051EA3"/>
    <w:rsid w:val="00052969"/>
    <w:rsid w:val="0005556D"/>
    <w:rsid w:val="00060E6E"/>
    <w:rsid w:val="000628D3"/>
    <w:rsid w:val="000641FB"/>
    <w:rsid w:val="00066755"/>
    <w:rsid w:val="00073918"/>
    <w:rsid w:val="000750B6"/>
    <w:rsid w:val="00076F09"/>
    <w:rsid w:val="00085D6A"/>
    <w:rsid w:val="0008793E"/>
    <w:rsid w:val="00093723"/>
    <w:rsid w:val="00096050"/>
    <w:rsid w:val="000A60D7"/>
    <w:rsid w:val="000B23B5"/>
    <w:rsid w:val="000B678A"/>
    <w:rsid w:val="000B70C1"/>
    <w:rsid w:val="000C6CAD"/>
    <w:rsid w:val="000D004F"/>
    <w:rsid w:val="000E092C"/>
    <w:rsid w:val="000E2878"/>
    <w:rsid w:val="000E33DF"/>
    <w:rsid w:val="000F09D3"/>
    <w:rsid w:val="001132B5"/>
    <w:rsid w:val="0014021F"/>
    <w:rsid w:val="00140B78"/>
    <w:rsid w:val="00140D84"/>
    <w:rsid w:val="0014470A"/>
    <w:rsid w:val="0016415C"/>
    <w:rsid w:val="001750D8"/>
    <w:rsid w:val="00180605"/>
    <w:rsid w:val="0018259E"/>
    <w:rsid w:val="00191FCE"/>
    <w:rsid w:val="001941CA"/>
    <w:rsid w:val="00194B2B"/>
    <w:rsid w:val="001B5092"/>
    <w:rsid w:val="001B6C96"/>
    <w:rsid w:val="001B7A5C"/>
    <w:rsid w:val="001C2B79"/>
    <w:rsid w:val="001D2995"/>
    <w:rsid w:val="001D5CC9"/>
    <w:rsid w:val="001D5DF9"/>
    <w:rsid w:val="001E102C"/>
    <w:rsid w:val="001E4CB7"/>
    <w:rsid w:val="001E58A3"/>
    <w:rsid w:val="001E6697"/>
    <w:rsid w:val="001F392C"/>
    <w:rsid w:val="001F4F8D"/>
    <w:rsid w:val="001F5982"/>
    <w:rsid w:val="00200FC2"/>
    <w:rsid w:val="0020307D"/>
    <w:rsid w:val="00210EF1"/>
    <w:rsid w:val="00215801"/>
    <w:rsid w:val="0021678B"/>
    <w:rsid w:val="00216DA0"/>
    <w:rsid w:val="00222AC3"/>
    <w:rsid w:val="00223EDB"/>
    <w:rsid w:val="00226F2D"/>
    <w:rsid w:val="002342BD"/>
    <w:rsid w:val="002470A1"/>
    <w:rsid w:val="00251301"/>
    <w:rsid w:val="00254458"/>
    <w:rsid w:val="002576E6"/>
    <w:rsid w:val="00257A4F"/>
    <w:rsid w:val="00263C3B"/>
    <w:rsid w:val="00265F68"/>
    <w:rsid w:val="00284258"/>
    <w:rsid w:val="00284A16"/>
    <w:rsid w:val="00295E91"/>
    <w:rsid w:val="0029647B"/>
    <w:rsid w:val="002B4D5D"/>
    <w:rsid w:val="002B5C63"/>
    <w:rsid w:val="002C3554"/>
    <w:rsid w:val="002C506B"/>
    <w:rsid w:val="002C60FC"/>
    <w:rsid w:val="002C627B"/>
    <w:rsid w:val="002D0FEF"/>
    <w:rsid w:val="002E3A3A"/>
    <w:rsid w:val="00305FA2"/>
    <w:rsid w:val="0032504D"/>
    <w:rsid w:val="00334C99"/>
    <w:rsid w:val="00337C81"/>
    <w:rsid w:val="00355991"/>
    <w:rsid w:val="003717BD"/>
    <w:rsid w:val="0038271D"/>
    <w:rsid w:val="00383B58"/>
    <w:rsid w:val="00391465"/>
    <w:rsid w:val="003C7CF2"/>
    <w:rsid w:val="003E0110"/>
    <w:rsid w:val="003E3DF5"/>
    <w:rsid w:val="003E7599"/>
    <w:rsid w:val="003E7AFE"/>
    <w:rsid w:val="004114DE"/>
    <w:rsid w:val="00415D05"/>
    <w:rsid w:val="00423485"/>
    <w:rsid w:val="00423E66"/>
    <w:rsid w:val="00442F9A"/>
    <w:rsid w:val="0045434C"/>
    <w:rsid w:val="0045560F"/>
    <w:rsid w:val="00457E97"/>
    <w:rsid w:val="0046459F"/>
    <w:rsid w:val="0046608E"/>
    <w:rsid w:val="004678A8"/>
    <w:rsid w:val="0047367D"/>
    <w:rsid w:val="00480798"/>
    <w:rsid w:val="00483B35"/>
    <w:rsid w:val="004841FA"/>
    <w:rsid w:val="00487646"/>
    <w:rsid w:val="00496FD9"/>
    <w:rsid w:val="004A1935"/>
    <w:rsid w:val="004A3FC6"/>
    <w:rsid w:val="004A6436"/>
    <w:rsid w:val="004B05B4"/>
    <w:rsid w:val="004C1810"/>
    <w:rsid w:val="004C4855"/>
    <w:rsid w:val="004C7646"/>
    <w:rsid w:val="004D7EBA"/>
    <w:rsid w:val="004E00E6"/>
    <w:rsid w:val="004F1677"/>
    <w:rsid w:val="00502EEC"/>
    <w:rsid w:val="00504FDC"/>
    <w:rsid w:val="00523949"/>
    <w:rsid w:val="0053733C"/>
    <w:rsid w:val="0054382B"/>
    <w:rsid w:val="0054669E"/>
    <w:rsid w:val="0055351C"/>
    <w:rsid w:val="00556CB0"/>
    <w:rsid w:val="00564FFE"/>
    <w:rsid w:val="005662CB"/>
    <w:rsid w:val="005900A1"/>
    <w:rsid w:val="005A5EC3"/>
    <w:rsid w:val="005A6CB2"/>
    <w:rsid w:val="005B37B3"/>
    <w:rsid w:val="005B4CB7"/>
    <w:rsid w:val="005B4ED8"/>
    <w:rsid w:val="005B55AA"/>
    <w:rsid w:val="005C5880"/>
    <w:rsid w:val="005C5CC2"/>
    <w:rsid w:val="005D0DCD"/>
    <w:rsid w:val="005D2C67"/>
    <w:rsid w:val="005E25F2"/>
    <w:rsid w:val="005E3EF7"/>
    <w:rsid w:val="005E5B4E"/>
    <w:rsid w:val="005F3D63"/>
    <w:rsid w:val="00615D0E"/>
    <w:rsid w:val="00633741"/>
    <w:rsid w:val="00641D5F"/>
    <w:rsid w:val="00642801"/>
    <w:rsid w:val="00647501"/>
    <w:rsid w:val="00650FF8"/>
    <w:rsid w:val="00664231"/>
    <w:rsid w:val="00665E49"/>
    <w:rsid w:val="00666A59"/>
    <w:rsid w:val="006869FA"/>
    <w:rsid w:val="00693193"/>
    <w:rsid w:val="00695EAA"/>
    <w:rsid w:val="0069694D"/>
    <w:rsid w:val="006A580C"/>
    <w:rsid w:val="006A6EE9"/>
    <w:rsid w:val="006B1D2B"/>
    <w:rsid w:val="006B6C50"/>
    <w:rsid w:val="006D14CE"/>
    <w:rsid w:val="006E25EF"/>
    <w:rsid w:val="006E597B"/>
    <w:rsid w:val="006E730D"/>
    <w:rsid w:val="006E733E"/>
    <w:rsid w:val="006E7E91"/>
    <w:rsid w:val="00707AB9"/>
    <w:rsid w:val="00733848"/>
    <w:rsid w:val="00743000"/>
    <w:rsid w:val="00747C6E"/>
    <w:rsid w:val="00756014"/>
    <w:rsid w:val="00762B56"/>
    <w:rsid w:val="007743AA"/>
    <w:rsid w:val="007807AF"/>
    <w:rsid w:val="007822ED"/>
    <w:rsid w:val="007834CF"/>
    <w:rsid w:val="00785605"/>
    <w:rsid w:val="00786336"/>
    <w:rsid w:val="0079103D"/>
    <w:rsid w:val="00793373"/>
    <w:rsid w:val="007933E0"/>
    <w:rsid w:val="00795286"/>
    <w:rsid w:val="00796A9A"/>
    <w:rsid w:val="007A5329"/>
    <w:rsid w:val="007B3932"/>
    <w:rsid w:val="007C0D07"/>
    <w:rsid w:val="007D0737"/>
    <w:rsid w:val="007D0CB5"/>
    <w:rsid w:val="007D7A0D"/>
    <w:rsid w:val="007F141D"/>
    <w:rsid w:val="007F3145"/>
    <w:rsid w:val="007F32FA"/>
    <w:rsid w:val="007F61E7"/>
    <w:rsid w:val="00800D24"/>
    <w:rsid w:val="00803E3C"/>
    <w:rsid w:val="00804F50"/>
    <w:rsid w:val="00816CD5"/>
    <w:rsid w:val="00825C70"/>
    <w:rsid w:val="00836F2D"/>
    <w:rsid w:val="00846C18"/>
    <w:rsid w:val="008470E9"/>
    <w:rsid w:val="008555B3"/>
    <w:rsid w:val="00862A61"/>
    <w:rsid w:val="00862B16"/>
    <w:rsid w:val="00865D6B"/>
    <w:rsid w:val="00866627"/>
    <w:rsid w:val="008671AB"/>
    <w:rsid w:val="008712D7"/>
    <w:rsid w:val="00880214"/>
    <w:rsid w:val="00881552"/>
    <w:rsid w:val="0089391B"/>
    <w:rsid w:val="00895013"/>
    <w:rsid w:val="008A28AA"/>
    <w:rsid w:val="008A2E16"/>
    <w:rsid w:val="008A333E"/>
    <w:rsid w:val="008A3D84"/>
    <w:rsid w:val="008B1452"/>
    <w:rsid w:val="008B41DD"/>
    <w:rsid w:val="008C24A8"/>
    <w:rsid w:val="008C5761"/>
    <w:rsid w:val="008D1499"/>
    <w:rsid w:val="008D62FE"/>
    <w:rsid w:val="008D6521"/>
    <w:rsid w:val="008E0327"/>
    <w:rsid w:val="008E2C60"/>
    <w:rsid w:val="008E63FA"/>
    <w:rsid w:val="008F282A"/>
    <w:rsid w:val="008F655C"/>
    <w:rsid w:val="008F658B"/>
    <w:rsid w:val="0090354B"/>
    <w:rsid w:val="0091189B"/>
    <w:rsid w:val="00921BC7"/>
    <w:rsid w:val="00927A6E"/>
    <w:rsid w:val="00953AA9"/>
    <w:rsid w:val="00954EAF"/>
    <w:rsid w:val="00957DB4"/>
    <w:rsid w:val="00962D96"/>
    <w:rsid w:val="0097252A"/>
    <w:rsid w:val="009808F9"/>
    <w:rsid w:val="00994C44"/>
    <w:rsid w:val="0099541E"/>
    <w:rsid w:val="00995A27"/>
    <w:rsid w:val="009A2C55"/>
    <w:rsid w:val="009A31AC"/>
    <w:rsid w:val="009A5E24"/>
    <w:rsid w:val="009A5F89"/>
    <w:rsid w:val="009B5A5B"/>
    <w:rsid w:val="009C249A"/>
    <w:rsid w:val="009C318C"/>
    <w:rsid w:val="009D05A0"/>
    <w:rsid w:val="009D72BB"/>
    <w:rsid w:val="009E1F6C"/>
    <w:rsid w:val="009E5973"/>
    <w:rsid w:val="009F1F4F"/>
    <w:rsid w:val="009F2F1A"/>
    <w:rsid w:val="00A00240"/>
    <w:rsid w:val="00A06AD1"/>
    <w:rsid w:val="00A16869"/>
    <w:rsid w:val="00A231FD"/>
    <w:rsid w:val="00A27E0B"/>
    <w:rsid w:val="00A309D9"/>
    <w:rsid w:val="00A33E44"/>
    <w:rsid w:val="00A37F17"/>
    <w:rsid w:val="00A44556"/>
    <w:rsid w:val="00A510CD"/>
    <w:rsid w:val="00A54194"/>
    <w:rsid w:val="00A565B4"/>
    <w:rsid w:val="00A67B44"/>
    <w:rsid w:val="00A80F0E"/>
    <w:rsid w:val="00A81F3C"/>
    <w:rsid w:val="00A95342"/>
    <w:rsid w:val="00AB136E"/>
    <w:rsid w:val="00AB1F8E"/>
    <w:rsid w:val="00AC0A2C"/>
    <w:rsid w:val="00AC190D"/>
    <w:rsid w:val="00AC4762"/>
    <w:rsid w:val="00AC5E1B"/>
    <w:rsid w:val="00AE53A7"/>
    <w:rsid w:val="00AE7CB9"/>
    <w:rsid w:val="00AF2729"/>
    <w:rsid w:val="00AF417E"/>
    <w:rsid w:val="00AF58B9"/>
    <w:rsid w:val="00B00D7F"/>
    <w:rsid w:val="00B073CA"/>
    <w:rsid w:val="00B15E8A"/>
    <w:rsid w:val="00B3650E"/>
    <w:rsid w:val="00B55DCE"/>
    <w:rsid w:val="00B60396"/>
    <w:rsid w:val="00B62807"/>
    <w:rsid w:val="00B657C4"/>
    <w:rsid w:val="00B67787"/>
    <w:rsid w:val="00B855FB"/>
    <w:rsid w:val="00B860AA"/>
    <w:rsid w:val="00BA3634"/>
    <w:rsid w:val="00BB59BF"/>
    <w:rsid w:val="00BC4B8B"/>
    <w:rsid w:val="00BC732D"/>
    <w:rsid w:val="00BC7F1A"/>
    <w:rsid w:val="00BF3FB9"/>
    <w:rsid w:val="00BF4015"/>
    <w:rsid w:val="00C007C6"/>
    <w:rsid w:val="00C02E0D"/>
    <w:rsid w:val="00C06A87"/>
    <w:rsid w:val="00C16B28"/>
    <w:rsid w:val="00C201B7"/>
    <w:rsid w:val="00C24027"/>
    <w:rsid w:val="00C2550D"/>
    <w:rsid w:val="00C25EC1"/>
    <w:rsid w:val="00C26BDC"/>
    <w:rsid w:val="00C32A9F"/>
    <w:rsid w:val="00C34F58"/>
    <w:rsid w:val="00C40281"/>
    <w:rsid w:val="00C409ED"/>
    <w:rsid w:val="00C41ED7"/>
    <w:rsid w:val="00C43AFE"/>
    <w:rsid w:val="00C47E86"/>
    <w:rsid w:val="00C538D9"/>
    <w:rsid w:val="00C55C13"/>
    <w:rsid w:val="00C564F7"/>
    <w:rsid w:val="00C765F4"/>
    <w:rsid w:val="00C81C91"/>
    <w:rsid w:val="00C952FA"/>
    <w:rsid w:val="00CA0C8A"/>
    <w:rsid w:val="00CA2A4B"/>
    <w:rsid w:val="00CA6521"/>
    <w:rsid w:val="00CB0C52"/>
    <w:rsid w:val="00CB0F0E"/>
    <w:rsid w:val="00CB3F5A"/>
    <w:rsid w:val="00CC0CAE"/>
    <w:rsid w:val="00CC0ED3"/>
    <w:rsid w:val="00CE3ED7"/>
    <w:rsid w:val="00CE4D56"/>
    <w:rsid w:val="00CE5A49"/>
    <w:rsid w:val="00CF01BC"/>
    <w:rsid w:val="00CF298E"/>
    <w:rsid w:val="00D07BAC"/>
    <w:rsid w:val="00D16482"/>
    <w:rsid w:val="00D254FF"/>
    <w:rsid w:val="00D2577D"/>
    <w:rsid w:val="00D25C86"/>
    <w:rsid w:val="00D35CDD"/>
    <w:rsid w:val="00D36A4A"/>
    <w:rsid w:val="00D7676F"/>
    <w:rsid w:val="00D83039"/>
    <w:rsid w:val="00D94FF8"/>
    <w:rsid w:val="00DA16B1"/>
    <w:rsid w:val="00DB3C39"/>
    <w:rsid w:val="00DB6C98"/>
    <w:rsid w:val="00DE0FBD"/>
    <w:rsid w:val="00DE633F"/>
    <w:rsid w:val="00DF3329"/>
    <w:rsid w:val="00E1010F"/>
    <w:rsid w:val="00E12768"/>
    <w:rsid w:val="00E1531D"/>
    <w:rsid w:val="00E2373E"/>
    <w:rsid w:val="00E4411A"/>
    <w:rsid w:val="00E54327"/>
    <w:rsid w:val="00E60161"/>
    <w:rsid w:val="00E6160F"/>
    <w:rsid w:val="00E65BD7"/>
    <w:rsid w:val="00E800A8"/>
    <w:rsid w:val="00E81633"/>
    <w:rsid w:val="00E85A1B"/>
    <w:rsid w:val="00E941EE"/>
    <w:rsid w:val="00EA370D"/>
    <w:rsid w:val="00EB3C27"/>
    <w:rsid w:val="00EB5085"/>
    <w:rsid w:val="00EB66DC"/>
    <w:rsid w:val="00EE62CB"/>
    <w:rsid w:val="00EF3046"/>
    <w:rsid w:val="00EF7C6E"/>
    <w:rsid w:val="00F016F4"/>
    <w:rsid w:val="00F02B40"/>
    <w:rsid w:val="00F07820"/>
    <w:rsid w:val="00F133CD"/>
    <w:rsid w:val="00F14DF0"/>
    <w:rsid w:val="00F1690E"/>
    <w:rsid w:val="00F233E9"/>
    <w:rsid w:val="00F23673"/>
    <w:rsid w:val="00F26144"/>
    <w:rsid w:val="00F37866"/>
    <w:rsid w:val="00F456D7"/>
    <w:rsid w:val="00F538CE"/>
    <w:rsid w:val="00F61FB4"/>
    <w:rsid w:val="00F77DD8"/>
    <w:rsid w:val="00FA5E7D"/>
    <w:rsid w:val="00FB19CA"/>
    <w:rsid w:val="00FB3D17"/>
    <w:rsid w:val="00FB5C65"/>
    <w:rsid w:val="00FC0F9E"/>
    <w:rsid w:val="00FC135F"/>
    <w:rsid w:val="00FC25E5"/>
    <w:rsid w:val="00FD09B9"/>
    <w:rsid w:val="00FD1099"/>
    <w:rsid w:val="00FD7FC4"/>
    <w:rsid w:val="00FE3C07"/>
    <w:rsid w:val="00FF288A"/>
    <w:rsid w:val="00FF618F"/>
    <w:rsid w:val="01763BCE"/>
    <w:rsid w:val="02F43F77"/>
    <w:rsid w:val="04D91423"/>
    <w:rsid w:val="05F00E75"/>
    <w:rsid w:val="08F50EA9"/>
    <w:rsid w:val="0D427BDE"/>
    <w:rsid w:val="11AB5AB2"/>
    <w:rsid w:val="14301388"/>
    <w:rsid w:val="1C7C129F"/>
    <w:rsid w:val="1DB401C9"/>
    <w:rsid w:val="1FF95A34"/>
    <w:rsid w:val="224D34F3"/>
    <w:rsid w:val="24AA3B6E"/>
    <w:rsid w:val="26265313"/>
    <w:rsid w:val="265C5E58"/>
    <w:rsid w:val="2C5C5373"/>
    <w:rsid w:val="334A73AF"/>
    <w:rsid w:val="389E2481"/>
    <w:rsid w:val="39765FC3"/>
    <w:rsid w:val="449A4293"/>
    <w:rsid w:val="4ACB052A"/>
    <w:rsid w:val="4D51066E"/>
    <w:rsid w:val="524A468A"/>
    <w:rsid w:val="54337CBC"/>
    <w:rsid w:val="54B45F09"/>
    <w:rsid w:val="588E1FA1"/>
    <w:rsid w:val="62330CD8"/>
    <w:rsid w:val="635C292A"/>
    <w:rsid w:val="63715118"/>
    <w:rsid w:val="695A0F3F"/>
    <w:rsid w:val="6E0A4832"/>
    <w:rsid w:val="715E46F0"/>
    <w:rsid w:val="726A3D33"/>
    <w:rsid w:val="79652E40"/>
    <w:rsid w:val="7B136630"/>
    <w:rsid w:val="7D552977"/>
    <w:rsid w:val="7DE467BB"/>
    <w:rsid w:val="7E1840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ind w:firstLine="630"/>
    </w:pPr>
    <w:rPr>
      <w:sz w:val="28"/>
    </w:rPr>
  </w:style>
  <w:style w:type="paragraph" w:styleId="4">
    <w:name w:val="annotation text"/>
    <w:basedOn w:val="1"/>
    <w:qFormat/>
    <w:uiPriority w:val="0"/>
    <w:pPr>
      <w:jc w:val="left"/>
    </w:pPr>
  </w:style>
  <w:style w:type="paragraph" w:styleId="5">
    <w:name w:val="Balloon Text"/>
    <w:basedOn w:val="1"/>
    <w:semiHidden/>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jc w:val="left"/>
    </w:pPr>
    <w:rPr>
      <w:kern w:val="0"/>
      <w:sz w:val="24"/>
    </w:rPr>
  </w:style>
  <w:style w:type="paragraph" w:styleId="9">
    <w:name w:val="Title"/>
    <w:basedOn w:val="1"/>
    <w:next w:val="1"/>
    <w:link w:val="21"/>
    <w:qFormat/>
    <w:uiPriority w:val="0"/>
    <w:pPr>
      <w:spacing w:before="240" w:after="60"/>
      <w:jc w:val="center"/>
      <w:outlineLvl w:val="0"/>
    </w:pPr>
    <w:rPr>
      <w:rFonts w:ascii="等线 Light" w:hAnsi="等线 Light"/>
      <w:b/>
      <w:bCs/>
      <w:sz w:val="32"/>
      <w:szCs w:val="32"/>
    </w:rPr>
  </w:style>
  <w:style w:type="character" w:styleId="12">
    <w:name w:val="page number"/>
    <w:qFormat/>
    <w:uiPriority w:val="0"/>
  </w:style>
  <w:style w:type="character" w:styleId="13">
    <w:name w:val="FollowedHyperlink"/>
    <w:qFormat/>
    <w:uiPriority w:val="0"/>
    <w:rPr>
      <w:color w:val="555454"/>
      <w:u w:val="none"/>
    </w:rPr>
  </w:style>
  <w:style w:type="character" w:styleId="14">
    <w:name w:val="Emphasis"/>
    <w:qFormat/>
    <w:uiPriority w:val="0"/>
  </w:style>
  <w:style w:type="character" w:styleId="15">
    <w:name w:val="Hyperlink"/>
    <w:qFormat/>
    <w:uiPriority w:val="0"/>
    <w:rPr>
      <w:color w:val="555454"/>
      <w:u w:val="none"/>
    </w:rPr>
  </w:style>
  <w:style w:type="character" w:styleId="16">
    <w:name w:val="HTML Cite"/>
    <w:qFormat/>
    <w:uiPriority w:val="0"/>
    <w:rPr>
      <w:color w:val="999999"/>
    </w:rPr>
  </w:style>
  <w:style w:type="character" w:customStyle="1" w:styleId="17">
    <w:name w:val="页眉 字符"/>
    <w:link w:val="7"/>
    <w:qFormat/>
    <w:uiPriority w:val="0"/>
    <w:rPr>
      <w:kern w:val="2"/>
      <w:sz w:val="18"/>
      <w:szCs w:val="18"/>
    </w:rPr>
  </w:style>
  <w:style w:type="character" w:customStyle="1" w:styleId="18">
    <w:name w:val="first-child"/>
    <w:qFormat/>
    <w:uiPriority w:val="0"/>
  </w:style>
  <w:style w:type="character" w:customStyle="1" w:styleId="19">
    <w:name w:val="layui-layer-tabnow"/>
    <w:qFormat/>
    <w:uiPriority w:val="0"/>
    <w:rPr>
      <w:bdr w:val="single" w:color="CCCCCC" w:sz="6" w:space="0"/>
      <w:shd w:val="clear" w:color="auto" w:fill="FFFFFF"/>
    </w:rPr>
  </w:style>
  <w:style w:type="paragraph" w:customStyle="1" w:styleId="20">
    <w:name w:val="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21">
    <w:name w:val="标题 字符"/>
    <w:link w:val="9"/>
    <w:qFormat/>
    <w:uiPriority w:val="0"/>
    <w:rPr>
      <w:rFonts w:ascii="等线 Light" w:hAnsi="等线 Light" w:cs="Times New Roman"/>
      <w:b/>
      <w:bCs/>
      <w:kern w:val="2"/>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aa</Company>
  <Pages>8</Pages>
  <Words>4158</Words>
  <Characters>4249</Characters>
  <Lines>31</Lines>
  <Paragraphs>8</Paragraphs>
  <TotalTime>0</TotalTime>
  <ScaleCrop>false</ScaleCrop>
  <LinksUpToDate>false</LinksUpToDate>
  <CharactersWithSpaces>4352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2016-05-03T02:17:00Z</dcterms:created>
  <dc:creator>Administrator</dc:creator>
  <cp:lastModifiedBy>Lk</cp:lastModifiedBy>
  <cp:lastPrinted>2023-06-05T05:04:00Z</cp:lastPrinted>
  <dcterms:modified xsi:type="dcterms:W3CDTF">2025-07-21T08:48:47Z</dcterms:modified>
  <dc:title>粮食竞价交易细则</dc:title>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010C7B2EA9774E07A503D58F9B08CB8B_13</vt:lpwstr>
  </property>
  <property fmtid="{D5CDD505-2E9C-101B-9397-08002B2CF9AE}" pid="4" name="KSOTemplateDocerSaveRecord">
    <vt:lpwstr>eyJoZGlkIjoiYzgzNjJiYzc5NzRmZmQyYWViZDYwNmNmNTc1MGU1NjMiLCJ1c2VySWQiOiIyNjAzOTAzMDAifQ==</vt:lpwstr>
  </property>
</Properties>
</file>