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48FFA5">
      <w:pPr>
        <w:adjustRightInd w:val="0"/>
        <w:snapToGrid w:val="0"/>
        <w:spacing w:line="560" w:lineRule="exact"/>
        <w:jc w:val="center"/>
        <w:rPr>
          <w:rFonts w:ascii="黑体" w:hAnsi="黑体" w:eastAsia="黑体"/>
          <w:b/>
          <w:sz w:val="30"/>
          <w:szCs w:val="30"/>
        </w:rPr>
      </w:pPr>
      <w:r>
        <w:rPr>
          <w:rFonts w:hint="eastAsia" w:ascii="宋体" w:hAnsi="宋体" w:cs="宋体"/>
          <w:b/>
          <w:sz w:val="44"/>
          <w:szCs w:val="44"/>
          <w:lang w:val="en-US" w:eastAsia="zh-CN"/>
        </w:rPr>
        <w:t>濉溪县县级储备大豆油购销双向竞价</w:t>
      </w:r>
      <w:r>
        <w:rPr>
          <w:rFonts w:hint="eastAsia" w:ascii="宋体" w:hAnsi="宋体" w:cs="宋体"/>
          <w:b/>
          <w:sz w:val="44"/>
          <w:szCs w:val="44"/>
        </w:rPr>
        <w:t>交易细则</w:t>
      </w:r>
    </w:p>
    <w:p w14:paraId="48F49F64">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第一章 总 则</w:t>
      </w:r>
    </w:p>
    <w:p w14:paraId="15EC1C6D">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第一条</w:t>
      </w:r>
      <w:r>
        <w:rPr>
          <w:rFonts w:hint="eastAsia" w:ascii="仿宋_GB2312" w:eastAsia="仿宋_GB2312"/>
          <w:sz w:val="30"/>
          <w:szCs w:val="30"/>
        </w:rPr>
        <w:t xml:space="preserve">  受</w:t>
      </w:r>
      <w:r>
        <w:rPr>
          <w:rFonts w:hint="eastAsia" w:ascii="仿宋_GB2312" w:eastAsia="仿宋_GB2312"/>
          <w:sz w:val="30"/>
          <w:szCs w:val="30"/>
          <w:lang w:eastAsia="zh-CN"/>
        </w:rPr>
        <w:t>濉溪县百善粮食储备库</w:t>
      </w:r>
      <w:r>
        <w:rPr>
          <w:rFonts w:hint="eastAsia" w:ascii="仿宋_GB2312" w:eastAsia="仿宋_GB2312"/>
          <w:sz w:val="30"/>
          <w:szCs w:val="30"/>
        </w:rPr>
        <w:t>的委托，安徽省粮食和物资储备保障中心（国家粮食安徽交易中心）承担县级储备大豆油竞价交易会的具体工作，现制定本交易细则。</w:t>
      </w:r>
    </w:p>
    <w:p w14:paraId="4C66FBAB">
      <w:pPr>
        <w:adjustRightInd w:val="0"/>
        <w:snapToGrid w:val="0"/>
        <w:spacing w:line="560" w:lineRule="exact"/>
        <w:ind w:firstLine="602" w:firstLineChars="200"/>
        <w:jc w:val="left"/>
        <w:rPr>
          <w:rFonts w:ascii="仿宋_GB2312" w:eastAsia="仿宋_GB2312"/>
          <w:sz w:val="30"/>
          <w:szCs w:val="30"/>
        </w:rPr>
      </w:pPr>
      <w:r>
        <w:rPr>
          <w:rFonts w:hint="eastAsia" w:ascii="仿宋_GB2312" w:eastAsia="仿宋_GB2312"/>
          <w:b/>
          <w:sz w:val="30"/>
          <w:szCs w:val="30"/>
        </w:rPr>
        <w:t>第二条</w:t>
      </w:r>
      <w:r>
        <w:rPr>
          <w:rFonts w:hint="eastAsia" w:ascii="仿宋_GB2312" w:eastAsia="仿宋_GB2312"/>
          <w:sz w:val="30"/>
          <w:szCs w:val="30"/>
        </w:rPr>
        <w:t xml:space="preserve"> 承储库点（以下简称“库方”）作为交易活动的代表，具体负责出入库、商务处理等工作，并承担相应的责任。参加交易的购油、供油方（以下简称“交易客户”）必须是具有国家油脂生产或经营许可证，且在以前安徽省政策性食用植物油脂购销和交割过程中没有发生质量、计量等违规行为。</w:t>
      </w:r>
    </w:p>
    <w:p w14:paraId="7011E109">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第三条</w:t>
      </w:r>
      <w:r>
        <w:rPr>
          <w:rFonts w:hint="eastAsia" w:ascii="仿宋_GB2312" w:eastAsia="仿宋_GB2312"/>
          <w:sz w:val="30"/>
          <w:szCs w:val="30"/>
        </w:rPr>
        <w:t xml:space="preserve"> 安徽省粮食和物资储备保障中心（国家粮食安徽交易中心）按照“公开、公平、公正”的原则组织本次交易，参加交易的各方必须遵守本细则。 </w:t>
      </w:r>
    </w:p>
    <w:p w14:paraId="45393E77">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第二章 交易准备</w:t>
      </w:r>
    </w:p>
    <w:p w14:paraId="16F71A79">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第四条</w:t>
      </w:r>
      <w:r>
        <w:rPr>
          <w:rFonts w:hint="eastAsia" w:ascii="仿宋_GB2312" w:eastAsia="仿宋_GB2312"/>
          <w:sz w:val="30"/>
          <w:szCs w:val="30"/>
        </w:rPr>
        <w:t xml:space="preserve"> 委托方须向安徽省粮食和物资储备保障中心（国家粮食安徽交易中心）提供《委托书》、交易清单等相关文件。</w:t>
      </w:r>
    </w:p>
    <w:p w14:paraId="37B67938">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第五条</w:t>
      </w:r>
      <w:r>
        <w:rPr>
          <w:rFonts w:hint="eastAsia" w:ascii="仿宋_GB2312" w:eastAsia="仿宋_GB2312"/>
          <w:sz w:val="30"/>
          <w:szCs w:val="30"/>
        </w:rPr>
        <w:t xml:space="preserve"> 参加交易的交易客户须交验企业营业执照副本及复印件、法定代表人签字并加盖单位公章的《交易授权书》、法人身份证复印件、交易代表身份证原件及复印件、单位公章或合同专用章。</w:t>
      </w:r>
    </w:p>
    <w:p w14:paraId="14C524A4">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交易客户交易前须向安徽省粮食和物资储备保障中心（国家粮食安徽交易中心）交纳保证金1100元/吨（含销售、采购标的交易保证金各50元/吨和履约保证金各500元/吨），付款时应注明交易会名称并向安徽省粮食和物资储备保障中心（国家粮食安徽交易中心）进行确认。</w:t>
      </w:r>
    </w:p>
    <w:p w14:paraId="79AF38D1">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安徽省粮食和物资储备保障中心（国家粮食安徽交易中心）保证金及结算账户：</w:t>
      </w:r>
    </w:p>
    <w:p w14:paraId="45F33ABC">
      <w:pPr>
        <w:adjustRightInd w:val="0"/>
        <w:snapToGrid w:val="0"/>
        <w:spacing w:line="560" w:lineRule="exact"/>
        <w:ind w:firstLine="450" w:firstLineChars="150"/>
        <w:rPr>
          <w:rFonts w:ascii="仿宋_GB2312" w:eastAsia="仿宋_GB2312"/>
          <w:sz w:val="30"/>
          <w:szCs w:val="30"/>
        </w:rPr>
      </w:pPr>
      <w:r>
        <w:rPr>
          <w:rFonts w:hint="eastAsia" w:ascii="仿宋_GB2312" w:eastAsia="仿宋_GB2312"/>
          <w:sz w:val="30"/>
          <w:szCs w:val="30"/>
        </w:rPr>
        <w:t xml:space="preserve"> 单位名称：安徽省粮食和物资储备保障中心</w:t>
      </w:r>
    </w:p>
    <w:p w14:paraId="62E8DD34">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 xml:space="preserve">开户银行：中国农业发展银行合肥市金寨路支行  </w:t>
      </w:r>
    </w:p>
    <w:p w14:paraId="33E80A4D">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账    号： 2033 4140 0101 0000 0260 831</w:t>
      </w:r>
    </w:p>
    <w:p w14:paraId="16043959">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开户银行：徽商银行合肥新华支行</w:t>
      </w:r>
    </w:p>
    <w:p w14:paraId="4EE47C48">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账    号：5200 5068 3601 0000 02</w:t>
      </w:r>
    </w:p>
    <w:p w14:paraId="705110F2">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第六条</w:t>
      </w:r>
      <w:r>
        <w:rPr>
          <w:rFonts w:hint="eastAsia" w:ascii="仿宋_GB2312" w:eastAsia="仿宋_GB2312"/>
          <w:sz w:val="30"/>
          <w:szCs w:val="30"/>
        </w:rPr>
        <w:t xml:space="preserve"> 交易客户通过资格审核并交纳保证金后，安徽省粮食和物资储备保障中心（国家粮食安徽交易中心）向其发放交易代码、密码等相关资料。交易代码、密码等相关资料为交易客户的资格凭证，属交易客户的商业机密，须妥善保管，如丢失或泄露责任自负。</w:t>
      </w:r>
    </w:p>
    <w:p w14:paraId="25240C23">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第七条</w:t>
      </w:r>
      <w:r>
        <w:rPr>
          <w:rFonts w:hint="eastAsia" w:ascii="仿宋_GB2312" w:eastAsia="仿宋_GB2312"/>
          <w:sz w:val="30"/>
          <w:szCs w:val="30"/>
        </w:rPr>
        <w:t xml:space="preserve"> 安徽省粮食和物资储备保障中心（国家粮食安徽交易中心）在中国粮食网（</w:t>
      </w:r>
      <w:r>
        <w:fldChar w:fldCharType="begin"/>
      </w:r>
      <w:r>
        <w:instrText xml:space="preserve"> HYPERLINK "http://www.cereal.com.cn/" </w:instrText>
      </w:r>
      <w:r>
        <w:fldChar w:fldCharType="separate"/>
      </w:r>
      <w:r>
        <w:rPr>
          <w:rStyle w:val="8"/>
          <w:rFonts w:hint="eastAsia" w:ascii="仿宋_GB2312" w:eastAsia="仿宋_GB2312"/>
          <w:color w:val="auto"/>
          <w:sz w:val="30"/>
          <w:szCs w:val="30"/>
        </w:rPr>
        <w:t>www.cereal.com.cn</w:t>
      </w:r>
      <w:r>
        <w:rPr>
          <w:rStyle w:val="8"/>
          <w:rFonts w:hint="eastAsia" w:ascii="仿宋_GB2312" w:eastAsia="仿宋_GB2312"/>
          <w:color w:val="auto"/>
          <w:sz w:val="30"/>
          <w:szCs w:val="30"/>
        </w:rPr>
        <w:fldChar w:fldCharType="end"/>
      </w:r>
      <w:r>
        <w:rPr>
          <w:rFonts w:hint="eastAsia" w:ascii="仿宋_GB2312" w:eastAsia="仿宋_GB2312"/>
          <w:sz w:val="30"/>
          <w:szCs w:val="30"/>
        </w:rPr>
        <w:t xml:space="preserve">）或交易大厅公告交易的相关信息，交易客户应及时了解。 </w:t>
      </w:r>
    </w:p>
    <w:p w14:paraId="370DBA65">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第三章 交易地点、时间</w:t>
      </w:r>
    </w:p>
    <w:p w14:paraId="5890F8CC">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第八条</w:t>
      </w:r>
      <w:r>
        <w:rPr>
          <w:rFonts w:hint="eastAsia" w:ascii="仿宋_GB2312" w:eastAsia="仿宋_GB2312"/>
          <w:sz w:val="30"/>
          <w:szCs w:val="30"/>
        </w:rPr>
        <w:t xml:space="preserve"> 现场交易地点：安徽省合肥市芜湖路319号良苑大厦三楼交易大厅，参加交易的会员企业也可以通过网上直接参加交易。</w:t>
      </w:r>
    </w:p>
    <w:p w14:paraId="4D78CF32">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第九条</w:t>
      </w:r>
      <w:r>
        <w:rPr>
          <w:rFonts w:hint="eastAsia" w:ascii="仿宋_GB2312" w:eastAsia="仿宋_GB2312"/>
          <w:sz w:val="30"/>
          <w:szCs w:val="30"/>
        </w:rPr>
        <w:t xml:space="preserve"> 交易时间按安徽省粮食和物资储备保障中心（国家粮食安徽交易中心）公告时间进行。</w:t>
      </w:r>
    </w:p>
    <w:p w14:paraId="55BB9FBB">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第十条</w:t>
      </w:r>
      <w:r>
        <w:rPr>
          <w:rFonts w:hint="eastAsia" w:ascii="仿宋_GB2312" w:eastAsia="仿宋_GB2312"/>
          <w:sz w:val="30"/>
          <w:szCs w:val="30"/>
        </w:rPr>
        <w:t xml:space="preserve"> 安徽省粮食和物资储备保障中心（国家粮食安徽交易中心）将根据交易的规模，允许交易客户派出1－2名交易代表入场交易，交易代表凭交易入场券提前入场，做好交易准备。</w:t>
      </w:r>
    </w:p>
    <w:p w14:paraId="6EB94620">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第十一条</w:t>
      </w:r>
      <w:r>
        <w:rPr>
          <w:rFonts w:hint="eastAsia" w:ascii="仿宋_GB2312" w:eastAsia="仿宋_GB2312"/>
          <w:sz w:val="30"/>
          <w:szCs w:val="30"/>
        </w:rPr>
        <w:t xml:space="preserve"> 交易时间如有变更，安徽省粮食和物资储备保障中心（国家粮食安徽交易中心）将提前公告。</w:t>
      </w:r>
    </w:p>
    <w:p w14:paraId="0CEFA4CB">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第四章 交易秩序</w:t>
      </w:r>
    </w:p>
    <w:p w14:paraId="2EC1C219">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第十二条</w:t>
      </w:r>
      <w:r>
        <w:rPr>
          <w:rFonts w:hint="eastAsia" w:ascii="仿宋_GB2312" w:eastAsia="仿宋_GB2312"/>
          <w:sz w:val="30"/>
          <w:szCs w:val="30"/>
        </w:rPr>
        <w:t xml:space="preserve"> 交易活动必须按照安徽省粮食和物资储备保障中心（国家粮食安徽交易中心）确定的交易方式、交易程序进行。安徽省粮食和物资储备保障中心（国家粮食安徽交易中心）有权根据现场情况进行调整，但应按本细则第七条所列方式进行公告。</w:t>
      </w:r>
    </w:p>
    <w:p w14:paraId="6D9FECD6">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第十三条</w:t>
      </w:r>
      <w:r>
        <w:rPr>
          <w:rFonts w:hint="eastAsia" w:ascii="仿宋_GB2312" w:eastAsia="仿宋_GB2312"/>
          <w:sz w:val="30"/>
          <w:szCs w:val="30"/>
        </w:rPr>
        <w:t xml:space="preserve"> 禁止恶意串通交易价格等损害他人利益的一切行为。对严重扰乱交易秩序的人员，安徽省粮食和物资储备保障中心（国家粮食安徽交易中心）有权取消其交易资格并责令其离场。</w:t>
      </w:r>
    </w:p>
    <w:p w14:paraId="0AC84CC2">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第十四条</w:t>
      </w:r>
      <w:r>
        <w:rPr>
          <w:rFonts w:hint="eastAsia" w:ascii="仿宋_GB2312" w:eastAsia="仿宋_GB2312"/>
          <w:sz w:val="30"/>
          <w:szCs w:val="30"/>
        </w:rPr>
        <w:t xml:space="preserve"> 交易大厅内禁止吸烟、打电话和大声喧哗。进场人员应爱护交易设备、设施，自觉维护场内秩序，服从工作人员指挥。</w:t>
      </w:r>
    </w:p>
    <w:p w14:paraId="1F0012C4">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第五章 交易程序</w:t>
      </w:r>
    </w:p>
    <w:p w14:paraId="121955B5">
      <w:pPr>
        <w:pStyle w:val="4"/>
        <w:wordWrap w:val="0"/>
        <w:spacing w:line="480" w:lineRule="auto"/>
        <w:ind w:firstLine="602" w:firstLineChars="200"/>
        <w:rPr>
          <w:rFonts w:hint="eastAsia" w:ascii="仿宋_GB2312" w:eastAsia="仿宋_GB2312"/>
          <w:sz w:val="30"/>
          <w:szCs w:val="30"/>
          <w:lang w:eastAsia="zh-CN"/>
        </w:rPr>
      </w:pPr>
      <w:r>
        <w:rPr>
          <w:rFonts w:hint="eastAsia" w:ascii="仿宋_GB2312" w:eastAsia="仿宋_GB2312"/>
          <w:b/>
          <w:sz w:val="30"/>
          <w:szCs w:val="30"/>
        </w:rPr>
        <w:t>第十五条</w:t>
      </w:r>
      <w:r>
        <w:rPr>
          <w:rFonts w:hint="eastAsia" w:ascii="仿宋_GB2312" w:eastAsia="仿宋_GB2312"/>
          <w:sz w:val="30"/>
          <w:szCs w:val="30"/>
        </w:rPr>
        <w:t xml:space="preserve"> </w:t>
      </w:r>
      <w:r>
        <w:rPr>
          <w:rFonts w:ascii="仿宋_GB2312" w:eastAsia="仿宋_GB2312"/>
          <w:sz w:val="30"/>
          <w:szCs w:val="30"/>
        </w:rPr>
        <w:t xml:space="preserve"> </w:t>
      </w:r>
      <w:r>
        <w:rPr>
          <w:rFonts w:hint="eastAsia" w:ascii="仿宋_GB2312" w:eastAsia="仿宋_GB2312"/>
          <w:sz w:val="30"/>
          <w:szCs w:val="30"/>
        </w:rPr>
        <w:t>本次计划销售202</w:t>
      </w:r>
      <w:r>
        <w:rPr>
          <w:rFonts w:hint="eastAsia" w:ascii="仿宋_GB2312" w:eastAsia="仿宋_GB2312"/>
          <w:sz w:val="30"/>
          <w:szCs w:val="30"/>
          <w:lang w:val="en-US" w:eastAsia="zh-CN"/>
        </w:rPr>
        <w:t>4</w:t>
      </w:r>
      <w:r>
        <w:rPr>
          <w:rFonts w:hint="eastAsia" w:ascii="仿宋_GB2312" w:eastAsia="仿宋_GB2312"/>
          <w:sz w:val="30"/>
          <w:szCs w:val="30"/>
        </w:rPr>
        <w:t>年产大豆油</w:t>
      </w:r>
      <w:r>
        <w:rPr>
          <w:rFonts w:hint="eastAsia" w:ascii="仿宋_GB2312" w:eastAsia="仿宋_GB2312"/>
          <w:sz w:val="30"/>
          <w:szCs w:val="30"/>
          <w:lang w:val="en-US" w:eastAsia="zh-CN"/>
        </w:rPr>
        <w:t>165</w:t>
      </w:r>
      <w:r>
        <w:rPr>
          <w:rFonts w:hint="eastAsia" w:ascii="仿宋_GB2312" w:eastAsia="仿宋_GB2312"/>
          <w:sz w:val="30"/>
          <w:szCs w:val="30"/>
        </w:rPr>
        <w:t>吨</w:t>
      </w:r>
      <w:r>
        <w:rPr>
          <w:rFonts w:hint="eastAsia" w:ascii="仿宋_GB2312" w:eastAsia="仿宋_GB2312"/>
          <w:sz w:val="30"/>
          <w:szCs w:val="30"/>
          <w:lang w:eastAsia="zh-CN"/>
        </w:rPr>
        <w:t>（</w:t>
      </w:r>
      <w:r>
        <w:rPr>
          <w:rFonts w:hint="eastAsia" w:ascii="仿宋_GB2312" w:eastAsia="仿宋_GB2312"/>
          <w:sz w:val="30"/>
          <w:szCs w:val="30"/>
          <w:lang w:val="en-US" w:eastAsia="zh-CN"/>
        </w:rPr>
        <w:t>包装</w:t>
      </w:r>
      <w:r>
        <w:rPr>
          <w:rFonts w:hint="eastAsia" w:ascii="仿宋_GB2312" w:eastAsia="仿宋_GB2312"/>
          <w:sz w:val="30"/>
          <w:szCs w:val="30"/>
          <w:lang w:eastAsia="zh-CN"/>
        </w:rPr>
        <w:t>）</w:t>
      </w:r>
      <w:r>
        <w:rPr>
          <w:rFonts w:hint="eastAsia" w:ascii="仿宋_GB2312" w:eastAsia="仿宋_GB2312"/>
          <w:sz w:val="30"/>
          <w:szCs w:val="30"/>
        </w:rPr>
        <w:t>，质量标准以现存为准。本次计划采购国标一级大豆油(202</w:t>
      </w:r>
      <w:r>
        <w:rPr>
          <w:rFonts w:hint="eastAsia" w:ascii="仿宋_GB2312" w:eastAsia="仿宋_GB2312"/>
          <w:sz w:val="30"/>
          <w:szCs w:val="30"/>
          <w:lang w:val="en-US" w:eastAsia="zh-CN"/>
        </w:rPr>
        <w:t>6</w:t>
      </w:r>
      <w:r>
        <w:rPr>
          <w:rFonts w:hint="eastAsia" w:ascii="仿宋_GB2312" w:eastAsia="仿宋_GB2312"/>
          <w:sz w:val="30"/>
          <w:szCs w:val="30"/>
        </w:rPr>
        <w:t>年</w:t>
      </w:r>
      <w:r>
        <w:rPr>
          <w:rFonts w:hint="eastAsia" w:ascii="仿宋_GB2312" w:eastAsia="仿宋_GB2312"/>
          <w:sz w:val="30"/>
          <w:szCs w:val="30"/>
          <w:lang w:val="en-US" w:eastAsia="zh-CN"/>
        </w:rPr>
        <w:t>1</w:t>
      </w:r>
      <w:r>
        <w:rPr>
          <w:rFonts w:hint="eastAsia" w:ascii="仿宋_GB2312" w:eastAsia="仿宋_GB2312"/>
          <w:sz w:val="30"/>
          <w:szCs w:val="30"/>
        </w:rPr>
        <w:t>月</w:t>
      </w:r>
      <w:r>
        <w:rPr>
          <w:rFonts w:hint="eastAsia" w:ascii="仿宋_GB2312" w:eastAsia="仿宋_GB2312"/>
          <w:sz w:val="30"/>
          <w:szCs w:val="30"/>
          <w:lang w:val="en-US" w:eastAsia="zh-CN"/>
        </w:rPr>
        <w:t>1</w:t>
      </w:r>
      <w:r>
        <w:rPr>
          <w:rFonts w:hint="eastAsia" w:ascii="仿宋_GB2312" w:eastAsia="仿宋_GB2312"/>
          <w:sz w:val="30"/>
          <w:szCs w:val="30"/>
        </w:rPr>
        <w:t>日</w:t>
      </w:r>
      <w:r>
        <w:rPr>
          <w:rFonts w:hint="eastAsia" w:ascii="仿宋_GB2312" w:eastAsia="仿宋_GB2312"/>
          <w:sz w:val="30"/>
          <w:szCs w:val="30"/>
          <w:lang w:val="en-US" w:eastAsia="zh-CN"/>
        </w:rPr>
        <w:t>及</w:t>
      </w:r>
      <w:r>
        <w:rPr>
          <w:rFonts w:hint="eastAsia" w:ascii="仿宋_GB2312" w:eastAsia="仿宋_GB2312"/>
          <w:sz w:val="30"/>
          <w:szCs w:val="30"/>
        </w:rPr>
        <w:t>以后</w:t>
      </w:r>
      <w:r>
        <w:rPr>
          <w:rFonts w:hint="eastAsia" w:ascii="仿宋_GB2312" w:eastAsia="仿宋_GB2312"/>
          <w:sz w:val="30"/>
          <w:szCs w:val="30"/>
          <w:lang w:eastAsia="zh-CN"/>
        </w:rPr>
        <w:t>生产，保质期</w:t>
      </w:r>
      <w:r>
        <w:rPr>
          <w:rFonts w:hint="eastAsia" w:ascii="仿宋_GB2312" w:eastAsia="仿宋_GB2312"/>
          <w:sz w:val="30"/>
          <w:szCs w:val="30"/>
          <w:lang w:val="en-US" w:eastAsia="zh-CN"/>
        </w:rPr>
        <w:t>18个月</w:t>
      </w:r>
      <w:r>
        <w:rPr>
          <w:rFonts w:hint="eastAsia" w:ascii="仿宋_GB2312" w:eastAsia="仿宋_GB2312"/>
          <w:sz w:val="30"/>
          <w:szCs w:val="30"/>
        </w:rPr>
        <w:t>）</w:t>
      </w:r>
      <w:r>
        <w:rPr>
          <w:rFonts w:hint="eastAsia" w:ascii="仿宋_GB2312" w:eastAsia="仿宋_GB2312"/>
          <w:sz w:val="30"/>
          <w:szCs w:val="30"/>
          <w:lang w:val="en-US" w:eastAsia="zh-CN"/>
        </w:rPr>
        <w:t>165</w:t>
      </w:r>
      <w:r>
        <w:rPr>
          <w:rFonts w:hint="eastAsia" w:ascii="仿宋_GB2312" w:eastAsia="仿宋_GB2312"/>
          <w:sz w:val="30"/>
          <w:szCs w:val="30"/>
        </w:rPr>
        <w:t>吨</w:t>
      </w:r>
      <w:r>
        <w:rPr>
          <w:rFonts w:hint="eastAsia" w:ascii="仿宋_GB2312" w:eastAsia="仿宋_GB2312"/>
          <w:sz w:val="30"/>
          <w:szCs w:val="30"/>
          <w:lang w:eastAsia="zh-CN"/>
        </w:rPr>
        <w:t>（</w:t>
      </w:r>
      <w:r>
        <w:rPr>
          <w:rFonts w:hint="eastAsia" w:ascii="仿宋_GB2312" w:eastAsia="仿宋_GB2312"/>
          <w:sz w:val="30"/>
          <w:szCs w:val="30"/>
          <w:lang w:val="en-US" w:eastAsia="zh-CN"/>
        </w:rPr>
        <w:t>包装</w:t>
      </w:r>
      <w:r>
        <w:rPr>
          <w:rFonts w:hint="eastAsia" w:ascii="仿宋_GB2312" w:eastAsia="仿宋_GB2312"/>
          <w:sz w:val="30"/>
          <w:szCs w:val="30"/>
          <w:lang w:eastAsia="zh-CN"/>
        </w:rPr>
        <w:t>）</w:t>
      </w:r>
      <w:r>
        <w:rPr>
          <w:rFonts w:hint="eastAsia" w:ascii="仿宋_GB2312" w:eastAsia="仿宋_GB2312"/>
          <w:sz w:val="30"/>
          <w:szCs w:val="30"/>
        </w:rPr>
        <w:t>，</w:t>
      </w:r>
      <w:r>
        <w:rPr>
          <w:rFonts w:hint="eastAsia" w:ascii="仿宋_GB2312" w:eastAsia="仿宋_GB2312"/>
          <w:sz w:val="30"/>
          <w:szCs w:val="30"/>
          <w:lang w:val="en-US" w:eastAsia="zh-CN"/>
        </w:rPr>
        <w:t>详见清单</w:t>
      </w:r>
      <w:r>
        <w:rPr>
          <w:rFonts w:hint="eastAsia" w:ascii="仿宋_GB2312" w:eastAsia="仿宋_GB2312"/>
          <w:sz w:val="30"/>
          <w:szCs w:val="30"/>
          <w:lang w:eastAsia="zh-CN"/>
        </w:rPr>
        <w:t>，</w:t>
      </w:r>
      <w:r>
        <w:rPr>
          <w:rFonts w:hint="eastAsia" w:ascii="仿宋_GB2312" w:eastAsia="仿宋_GB2312"/>
          <w:sz w:val="30"/>
          <w:szCs w:val="30"/>
        </w:rPr>
        <w:t>质量指标、储存品质指标须符合相关食品安全指标要求</w:t>
      </w:r>
      <w:r>
        <w:rPr>
          <w:rFonts w:hint="eastAsia" w:ascii="仿宋_GB2312" w:eastAsia="仿宋_GB2312"/>
          <w:sz w:val="30"/>
          <w:szCs w:val="30"/>
          <w:lang w:eastAsia="zh-CN"/>
        </w:rPr>
        <w:t>。</w:t>
      </w:r>
    </w:p>
    <w:p w14:paraId="6FCEDBD8">
      <w:pPr>
        <w:pStyle w:val="4"/>
        <w:wordWrap w:val="0"/>
        <w:spacing w:line="480" w:lineRule="auto"/>
        <w:ind w:firstLine="600" w:firstLineChars="200"/>
        <w:rPr>
          <w:rFonts w:ascii="仿宋_GB2312" w:eastAsia="仿宋_GB2312"/>
          <w:kern w:val="2"/>
          <w:sz w:val="30"/>
          <w:szCs w:val="30"/>
        </w:rPr>
      </w:pPr>
      <w:r>
        <w:rPr>
          <w:rFonts w:hint="eastAsia" w:ascii="仿宋_GB2312" w:eastAsia="仿宋_GB2312"/>
          <w:kern w:val="2"/>
          <w:sz w:val="30"/>
          <w:szCs w:val="30"/>
        </w:rPr>
        <w:t>销售标的报价为卖方</w:t>
      </w:r>
      <w:r>
        <w:rPr>
          <w:rFonts w:hint="eastAsia" w:ascii="仿宋_GB2312" w:eastAsia="仿宋_GB2312"/>
          <w:kern w:val="2"/>
          <w:sz w:val="30"/>
          <w:szCs w:val="30"/>
          <w:lang w:val="en-US" w:eastAsia="zh-CN"/>
        </w:rPr>
        <w:t>仓内</w:t>
      </w:r>
      <w:r>
        <w:rPr>
          <w:rFonts w:hint="eastAsia" w:ascii="仿宋_GB2312" w:eastAsia="仿宋_GB2312"/>
          <w:kern w:val="2"/>
          <w:sz w:val="30"/>
          <w:szCs w:val="30"/>
        </w:rPr>
        <w:t>价，采购标的报价为买方</w:t>
      </w:r>
      <w:r>
        <w:rPr>
          <w:rFonts w:hint="eastAsia" w:ascii="仿宋_GB2312" w:eastAsia="仿宋_GB2312"/>
          <w:kern w:val="2"/>
          <w:sz w:val="30"/>
          <w:szCs w:val="30"/>
          <w:lang w:val="en-US" w:eastAsia="zh-CN"/>
        </w:rPr>
        <w:t>仓内</w:t>
      </w:r>
      <w:r>
        <w:rPr>
          <w:rFonts w:hint="eastAsia" w:ascii="仿宋_GB2312" w:eastAsia="仿宋_GB2312"/>
          <w:kern w:val="2"/>
          <w:sz w:val="30"/>
          <w:szCs w:val="30"/>
        </w:rPr>
        <w:t>价。</w:t>
      </w:r>
    </w:p>
    <w:p w14:paraId="683D9F17">
      <w:pPr>
        <w:pStyle w:val="4"/>
        <w:wordWrap w:val="0"/>
        <w:spacing w:line="480" w:lineRule="auto"/>
        <w:ind w:firstLine="600" w:firstLineChars="200"/>
        <w:rPr>
          <w:rFonts w:hint="eastAsia" w:ascii="仿宋_GB2312" w:eastAsia="仿宋_GB2312"/>
          <w:sz w:val="30"/>
          <w:szCs w:val="30"/>
        </w:rPr>
      </w:pPr>
      <w:r>
        <w:rPr>
          <w:rFonts w:hint="eastAsia" w:ascii="仿宋_GB2312" w:eastAsia="仿宋_GB2312"/>
          <w:sz w:val="30"/>
          <w:szCs w:val="30"/>
        </w:rPr>
        <w:t>本次竞价交易采取购销统一、销售价竞标、采购价固定、高价中标方式。通过一次交易实现同等数量大豆油采购和销售同步完成的交易模式，销售、采购同时进行，且为同一交易单位</w:t>
      </w:r>
      <w:r>
        <w:rPr>
          <w:rFonts w:hint="eastAsia" w:ascii="仿宋_GB2312" w:eastAsia="仿宋_GB2312"/>
          <w:sz w:val="30"/>
          <w:szCs w:val="30"/>
          <w:lang w:eastAsia="zh-CN"/>
        </w:rPr>
        <w:t>，</w:t>
      </w:r>
      <w:r>
        <w:rPr>
          <w:rFonts w:hint="eastAsia" w:ascii="仿宋_GB2312" w:eastAsia="仿宋_GB2312"/>
          <w:sz w:val="30"/>
          <w:szCs w:val="30"/>
        </w:rPr>
        <w:t>竞价参与方只对销售标的的底价进行竞价</w:t>
      </w:r>
      <w:r>
        <w:rPr>
          <w:rFonts w:hint="eastAsia" w:ascii="仿宋_GB2312" w:eastAsia="仿宋_GB2312"/>
          <w:sz w:val="30"/>
          <w:szCs w:val="30"/>
          <w:lang w:eastAsia="zh-CN"/>
        </w:rPr>
        <w:t>，</w:t>
      </w:r>
      <w:r>
        <w:rPr>
          <w:rFonts w:hint="eastAsia" w:ascii="仿宋_GB2312" w:eastAsia="仿宋_GB2312"/>
          <w:sz w:val="30"/>
          <w:szCs w:val="30"/>
        </w:rPr>
        <w:t>采购价格</w:t>
      </w:r>
      <w:r>
        <w:rPr>
          <w:rFonts w:hint="eastAsia" w:ascii="仿宋_GB2312" w:eastAsia="仿宋_GB2312"/>
          <w:sz w:val="30"/>
          <w:szCs w:val="30"/>
          <w:lang w:val="en-US" w:eastAsia="zh-CN"/>
        </w:rPr>
        <w:t>为</w:t>
      </w:r>
      <w:r>
        <w:rPr>
          <w:rFonts w:hint="eastAsia" w:ascii="仿宋_GB2312" w:eastAsia="仿宋_GB2312"/>
          <w:sz w:val="30"/>
          <w:szCs w:val="30"/>
        </w:rPr>
        <w:t>8700元/吨(固定价)，销售价格以竞价结果为准。</w:t>
      </w:r>
    </w:p>
    <w:p w14:paraId="384ED418">
      <w:pPr>
        <w:pStyle w:val="4"/>
        <w:shd w:val="clear" w:color="auto" w:fill="FFFFFF"/>
        <w:ind w:firstLine="600" w:firstLineChars="200"/>
        <w:rPr>
          <w:rFonts w:ascii="仿宋_GB2312" w:eastAsia="仿宋_GB2312"/>
          <w:sz w:val="30"/>
        </w:rPr>
      </w:pPr>
      <w:r>
        <w:rPr>
          <w:rFonts w:hint="eastAsia" w:ascii="黑体" w:eastAsia="黑体"/>
          <w:sz w:val="30"/>
        </w:rPr>
        <w:t>第十六条</w:t>
      </w:r>
      <w:r>
        <w:rPr>
          <w:rFonts w:hint="eastAsia" w:ascii="仿宋_GB2312" w:eastAsia="仿宋_GB2312"/>
          <w:sz w:val="30"/>
        </w:rPr>
        <w:t xml:space="preserve">  本次交易活动，采取现场及网上计算机竞价的方式进行。竞价交易按委托标的序号顺序，依次按交易节进行。</w:t>
      </w:r>
    </w:p>
    <w:p w14:paraId="384D84FE">
      <w:pPr>
        <w:spacing w:line="560" w:lineRule="exact"/>
        <w:ind w:firstLine="602" w:firstLineChars="200"/>
        <w:rPr>
          <w:rFonts w:ascii="仿宋_GB2312" w:hAnsi="宋体" w:eastAsia="仿宋_GB2312"/>
          <w:b/>
          <w:sz w:val="30"/>
          <w:szCs w:val="30"/>
        </w:rPr>
      </w:pPr>
      <w:r>
        <w:rPr>
          <w:rFonts w:hint="eastAsia" w:ascii="仿宋_GB2312" w:eastAsia="仿宋_GB2312"/>
          <w:b/>
          <w:sz w:val="30"/>
          <w:szCs w:val="30"/>
        </w:rPr>
        <w:t>第十七条</w:t>
      </w:r>
      <w:r>
        <w:rPr>
          <w:rFonts w:hint="eastAsia" w:ascii="仿宋_GB2312" w:eastAsia="仿宋_GB2312"/>
          <w:sz w:val="30"/>
          <w:szCs w:val="30"/>
        </w:rPr>
        <w:t xml:space="preserve"> </w:t>
      </w:r>
      <w:r>
        <w:rPr>
          <w:rFonts w:hint="eastAsia" w:ascii="仿宋_GB2312" w:hAnsi="宋体" w:eastAsia="仿宋_GB2312"/>
          <w:sz w:val="30"/>
          <w:szCs w:val="30"/>
        </w:rPr>
        <w:t>开市后，竞买人利用计算机按交易节逐节进行交易。每笔交易从标底价开始报价，</w:t>
      </w:r>
      <w:r>
        <w:rPr>
          <w:rFonts w:hint="eastAsia" w:ascii="仿宋_GB2312" w:hAnsi="宋体" w:eastAsia="仿宋_GB2312"/>
          <w:b/>
          <w:sz w:val="30"/>
          <w:szCs w:val="30"/>
        </w:rPr>
        <w:t>并按每吨</w:t>
      </w:r>
      <w:r>
        <w:rPr>
          <w:rFonts w:ascii="仿宋_GB2312" w:hAnsi="宋体" w:eastAsia="仿宋_GB2312"/>
          <w:b/>
          <w:sz w:val="30"/>
          <w:szCs w:val="30"/>
        </w:rPr>
        <w:t>10</w:t>
      </w:r>
      <w:r>
        <w:rPr>
          <w:rFonts w:hint="eastAsia" w:ascii="仿宋_GB2312" w:hAnsi="宋体" w:eastAsia="仿宋_GB2312"/>
          <w:b/>
          <w:sz w:val="30"/>
          <w:szCs w:val="30"/>
        </w:rPr>
        <w:t>元的价位递增报价。</w:t>
      </w:r>
    </w:p>
    <w:p w14:paraId="7FB8478C">
      <w:pPr>
        <w:spacing w:line="560" w:lineRule="exact"/>
        <w:ind w:firstLine="600" w:firstLineChars="200"/>
        <w:rPr>
          <w:rFonts w:ascii="仿宋_GB2312" w:eastAsia="仿宋_GB2312"/>
          <w:sz w:val="30"/>
        </w:rPr>
      </w:pPr>
      <w:r>
        <w:rPr>
          <w:rFonts w:hint="eastAsia" w:ascii="黑体" w:eastAsia="黑体"/>
          <w:sz w:val="30"/>
        </w:rPr>
        <w:t>第十八条</w:t>
      </w:r>
      <w:r>
        <w:rPr>
          <w:rFonts w:hint="eastAsia" w:ascii="仿宋_GB2312" w:eastAsia="仿宋_GB2312"/>
          <w:sz w:val="30"/>
        </w:rPr>
        <w:t xml:space="preserve">  在标底价位上无人应价时，即撤销该笔交易。</w:t>
      </w:r>
    </w:p>
    <w:p w14:paraId="680C99EB">
      <w:pPr>
        <w:spacing w:line="560" w:lineRule="exact"/>
        <w:ind w:firstLine="600" w:firstLineChars="200"/>
        <w:rPr>
          <w:rFonts w:ascii="仿宋_GB2312" w:eastAsia="仿宋_GB2312"/>
          <w:sz w:val="30"/>
        </w:rPr>
      </w:pPr>
      <w:r>
        <w:rPr>
          <w:rFonts w:hint="eastAsia" w:ascii="黑体" w:eastAsia="黑体"/>
          <w:sz w:val="30"/>
        </w:rPr>
        <w:t>第十九条</w:t>
      </w:r>
      <w:r>
        <w:rPr>
          <w:rFonts w:hint="eastAsia" w:ascii="仿宋_GB2312" w:eastAsia="仿宋_GB2312"/>
          <w:sz w:val="30"/>
        </w:rPr>
        <w:t xml:space="preserve">  竞买人应点击计算机报价，竞价数量已超过预交保证金所能购买数量的不可再参加竞价。</w:t>
      </w:r>
    </w:p>
    <w:p w14:paraId="51EFD87A">
      <w:pPr>
        <w:spacing w:line="560" w:lineRule="exact"/>
        <w:ind w:firstLine="600" w:firstLineChars="200"/>
        <w:rPr>
          <w:rFonts w:ascii="仿宋_GB2312" w:hAnsi="宋体"/>
          <w:color w:val="000000"/>
          <w:sz w:val="30"/>
          <w:szCs w:val="30"/>
          <w:lang w:val="zh-CN"/>
        </w:rPr>
      </w:pPr>
      <w:r>
        <w:rPr>
          <w:rFonts w:hint="eastAsia" w:ascii="黑体" w:eastAsia="黑体"/>
          <w:sz w:val="30"/>
        </w:rPr>
        <w:t>第二十条</w:t>
      </w:r>
      <w:r>
        <w:rPr>
          <w:rFonts w:hint="eastAsia" w:ascii="仿宋_GB2312" w:eastAsia="仿宋_GB2312"/>
          <w:sz w:val="30"/>
        </w:rPr>
        <w:t xml:space="preserve">  竞买人一经应价，不得撤回。</w:t>
      </w:r>
    </w:p>
    <w:p w14:paraId="50FFAEDC">
      <w:pPr>
        <w:spacing w:line="560" w:lineRule="exact"/>
        <w:ind w:firstLine="600" w:firstLineChars="200"/>
        <w:rPr>
          <w:rFonts w:ascii="仿宋_GB2312" w:eastAsia="仿宋_GB2312"/>
          <w:sz w:val="30"/>
        </w:rPr>
      </w:pPr>
      <w:r>
        <w:rPr>
          <w:rFonts w:hint="eastAsia" w:ascii="黑体" w:eastAsia="黑体"/>
          <w:sz w:val="30"/>
        </w:rPr>
        <w:t xml:space="preserve">第二十一条  </w:t>
      </w:r>
      <w:r>
        <w:rPr>
          <w:rFonts w:hint="eastAsia" w:ascii="仿宋_GB2312" w:eastAsia="仿宋_GB2312"/>
          <w:sz w:val="30"/>
        </w:rPr>
        <w:t>竞买人在新价位应价并被系统确认后，前一价位的应价自动失效。竞买人报价后，在规定的时间内如无其它竞买人以更高的价格报价，则以该报价为标的的成交价，该竞买人为标的的中标方。</w:t>
      </w:r>
    </w:p>
    <w:p w14:paraId="1DE07441">
      <w:pPr>
        <w:spacing w:line="560" w:lineRule="exact"/>
        <w:ind w:firstLine="600" w:firstLineChars="200"/>
        <w:rPr>
          <w:rFonts w:ascii="仿宋_GB2312" w:eastAsia="仿宋_GB2312"/>
          <w:sz w:val="30"/>
        </w:rPr>
      </w:pPr>
      <w:r>
        <w:rPr>
          <w:rFonts w:hint="eastAsia" w:ascii="黑体" w:eastAsia="黑体"/>
          <w:sz w:val="30"/>
        </w:rPr>
        <w:t>第二十二条</w:t>
      </w:r>
      <w:r>
        <w:rPr>
          <w:rFonts w:hint="eastAsia" w:ascii="仿宋_GB2312" w:eastAsia="仿宋_GB2312"/>
          <w:sz w:val="30"/>
        </w:rPr>
        <w:t xml:space="preserve">  </w:t>
      </w:r>
      <w:r>
        <w:rPr>
          <w:rFonts w:hint="eastAsia" w:ascii="仿宋_GB2312" w:hAnsi="宋体" w:eastAsia="仿宋_GB2312"/>
          <w:spacing w:val="6"/>
          <w:sz w:val="30"/>
          <w:szCs w:val="30"/>
          <w:lang w:val="zh-CN"/>
        </w:rPr>
        <w:t>合同自确定成交之</w:t>
      </w:r>
      <w:r>
        <w:rPr>
          <w:rFonts w:hint="eastAsia" w:ascii="仿宋_GB2312" w:hAnsi="宋体" w:eastAsia="仿宋_GB2312"/>
          <w:sz w:val="30"/>
          <w:szCs w:val="30"/>
          <w:lang w:val="zh-CN"/>
        </w:rPr>
        <w:t>时</w:t>
      </w:r>
      <w:r>
        <w:rPr>
          <w:rFonts w:hint="eastAsia" w:ascii="仿宋_GB2312" w:hAnsi="宋体" w:eastAsia="仿宋_GB2312"/>
          <w:spacing w:val="6"/>
          <w:sz w:val="30"/>
          <w:szCs w:val="30"/>
          <w:lang w:val="zh-CN"/>
        </w:rPr>
        <w:t>起生效。</w:t>
      </w:r>
      <w:r>
        <w:rPr>
          <w:rFonts w:hint="eastAsia" w:ascii="仿宋_GB2312" w:hAnsi="宋体" w:eastAsia="仿宋_GB2312"/>
          <w:sz w:val="30"/>
          <w:szCs w:val="30"/>
          <w:lang w:val="zh-CN"/>
        </w:rPr>
        <w:t>交易结束后，</w:t>
      </w:r>
      <w:r>
        <w:rPr>
          <w:rFonts w:hint="eastAsia" w:ascii="仿宋_GB2312" w:eastAsia="仿宋_GB2312"/>
          <w:sz w:val="30"/>
        </w:rPr>
        <w:t>交易成交双方签订安徽省粮食和物资储备保障中心（国家粮食安徽交易中心）制订的买卖合同。</w:t>
      </w:r>
    </w:p>
    <w:p w14:paraId="1A5E0D1A">
      <w:pPr>
        <w:spacing w:line="560" w:lineRule="exact"/>
        <w:ind w:firstLine="624" w:firstLineChars="200"/>
        <w:rPr>
          <w:rFonts w:ascii="仿宋_GB2312" w:eastAsia="仿宋_GB2312"/>
          <w:color w:val="FF0000"/>
          <w:sz w:val="30"/>
        </w:rPr>
      </w:pPr>
      <w:r>
        <w:rPr>
          <w:rFonts w:hint="eastAsia" w:ascii="仿宋_GB2312" w:hAnsi="宋体" w:eastAsia="仿宋_GB2312"/>
          <w:spacing w:val="6"/>
          <w:sz w:val="30"/>
          <w:szCs w:val="30"/>
          <w:lang w:val="zh-CN"/>
        </w:rPr>
        <w:t>如果买卖一方因为特殊情况无法按时签订合同的,视同认可合同条款,不影响合同的履行</w:t>
      </w:r>
      <w:r>
        <w:rPr>
          <w:rFonts w:hint="eastAsia" w:ascii="仿宋_GB2312" w:eastAsia="仿宋_GB2312"/>
          <w:sz w:val="30"/>
        </w:rPr>
        <w:t>，并严格按照合同条款执行。</w:t>
      </w:r>
    </w:p>
    <w:p w14:paraId="314E2C1B">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 xml:space="preserve"> </w:t>
      </w:r>
    </w:p>
    <w:p w14:paraId="599F7009">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第六章 交割和结算</w:t>
      </w:r>
    </w:p>
    <w:p w14:paraId="3B957644">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第二十三条</w:t>
      </w:r>
      <w:r>
        <w:rPr>
          <w:rFonts w:hint="eastAsia" w:ascii="仿宋_GB2312" w:eastAsia="仿宋_GB2312"/>
          <w:sz w:val="30"/>
          <w:szCs w:val="30"/>
        </w:rPr>
        <w:t xml:space="preserve"> 交易双方应严格履行合同规定的责任义务，并享受合同规定的权利。</w:t>
      </w:r>
    </w:p>
    <w:p w14:paraId="2D244339">
      <w:pPr>
        <w:spacing w:line="560" w:lineRule="exact"/>
        <w:ind w:firstLine="632" w:firstLineChars="210"/>
        <w:rPr>
          <w:rFonts w:ascii="仿宋_GB2312" w:hAnsi="宋体" w:eastAsia="仿宋_GB2312"/>
          <w:sz w:val="30"/>
          <w:szCs w:val="30"/>
          <w:lang w:val="zh-CN"/>
        </w:rPr>
      </w:pPr>
      <w:r>
        <w:rPr>
          <w:rFonts w:hint="eastAsia" w:ascii="仿宋_GB2312" w:eastAsia="仿宋_GB2312"/>
          <w:b/>
          <w:sz w:val="30"/>
          <w:szCs w:val="30"/>
        </w:rPr>
        <w:t xml:space="preserve">第二十四条 </w:t>
      </w:r>
      <w:r>
        <w:rPr>
          <w:rFonts w:hint="eastAsia" w:ascii="仿宋_GB2312" w:hAnsi="宋体" w:eastAsia="仿宋_GB2312"/>
          <w:sz w:val="30"/>
          <w:szCs w:val="30"/>
          <w:lang w:val="zh-CN"/>
        </w:rPr>
        <w:t>本次交易，销售合同、采购合同履约时间为自交易合同生效之日起至202</w:t>
      </w:r>
      <w:r>
        <w:rPr>
          <w:rFonts w:hint="eastAsia" w:ascii="仿宋_GB2312" w:hAnsi="宋体" w:eastAsia="仿宋_GB2312"/>
          <w:sz w:val="30"/>
          <w:szCs w:val="30"/>
          <w:lang w:val="en-US" w:eastAsia="zh-CN"/>
        </w:rPr>
        <w:t>6</w:t>
      </w:r>
      <w:r>
        <w:rPr>
          <w:rFonts w:hint="eastAsia" w:ascii="仿宋_GB2312" w:hAnsi="宋体" w:eastAsia="仿宋_GB2312"/>
          <w:sz w:val="30"/>
          <w:szCs w:val="30"/>
          <w:lang w:val="zh-CN"/>
        </w:rPr>
        <w:t>年</w:t>
      </w:r>
      <w:r>
        <w:rPr>
          <w:rFonts w:hint="eastAsia" w:ascii="仿宋_GB2312" w:hAnsi="宋体" w:eastAsia="仿宋_GB2312"/>
          <w:sz w:val="30"/>
          <w:szCs w:val="30"/>
          <w:lang w:val="en-US" w:eastAsia="zh-CN"/>
        </w:rPr>
        <w:t>1</w:t>
      </w:r>
      <w:r>
        <w:rPr>
          <w:rFonts w:hint="eastAsia" w:ascii="仿宋_GB2312" w:hAnsi="宋体" w:eastAsia="仿宋_GB2312"/>
          <w:sz w:val="30"/>
          <w:szCs w:val="30"/>
          <w:lang w:val="zh-CN"/>
        </w:rPr>
        <w:t>月</w:t>
      </w:r>
      <w:r>
        <w:rPr>
          <w:rFonts w:hint="eastAsia" w:ascii="仿宋_GB2312" w:hAnsi="宋体" w:eastAsia="仿宋_GB2312"/>
          <w:sz w:val="30"/>
          <w:szCs w:val="30"/>
          <w:lang w:val="en-US" w:eastAsia="zh-CN"/>
        </w:rPr>
        <w:t>23</w:t>
      </w:r>
      <w:bookmarkStart w:id="0" w:name="_GoBack"/>
      <w:bookmarkEnd w:id="0"/>
      <w:r>
        <w:rPr>
          <w:rFonts w:hint="eastAsia" w:ascii="仿宋_GB2312" w:hAnsi="宋体" w:eastAsia="仿宋_GB2312"/>
          <w:sz w:val="30"/>
          <w:szCs w:val="30"/>
          <w:lang w:val="zh-CN"/>
        </w:rPr>
        <w:t>日。中标方必须于交易合同生效之日起</w:t>
      </w:r>
      <w:r>
        <w:rPr>
          <w:rFonts w:hint="eastAsia" w:ascii="仿宋_GB2312" w:hAnsi="宋体" w:eastAsia="仿宋_GB2312"/>
          <w:sz w:val="30"/>
          <w:szCs w:val="30"/>
          <w:lang w:val="en-US" w:eastAsia="zh-CN"/>
        </w:rPr>
        <w:t>5</w:t>
      </w:r>
      <w:r>
        <w:rPr>
          <w:rFonts w:hint="eastAsia" w:ascii="仿宋_GB2312" w:hAnsi="宋体" w:eastAsia="仿宋_GB2312"/>
          <w:sz w:val="30"/>
          <w:szCs w:val="30"/>
          <w:lang w:val="zh-CN"/>
        </w:rPr>
        <w:t>日内按要求将销售合同全额货款一次或分批汇入本细则第五条所列安徽省粮食和物资储备保障中心（国家粮食安徽交易中心）结算账户。</w:t>
      </w:r>
    </w:p>
    <w:p w14:paraId="66A91F66">
      <w:pPr>
        <w:spacing w:line="560" w:lineRule="exact"/>
        <w:ind w:firstLine="630" w:firstLineChars="210"/>
        <w:rPr>
          <w:rFonts w:hint="eastAsia" w:ascii="仿宋_GB2312" w:eastAsia="仿宋_GB2312"/>
          <w:sz w:val="30"/>
        </w:rPr>
      </w:pPr>
      <w:r>
        <w:rPr>
          <w:rFonts w:hint="eastAsia" w:ascii="仿宋_GB2312" w:hAnsi="宋体" w:eastAsia="仿宋_GB2312"/>
          <w:sz w:val="30"/>
          <w:szCs w:val="30"/>
          <w:lang w:val="zh-CN"/>
        </w:rPr>
        <w:t>安徽省粮食和物资储备保障中心（国家粮食安徽交易中心）收</w:t>
      </w:r>
      <w:r>
        <w:rPr>
          <w:rFonts w:hint="eastAsia" w:ascii="仿宋_GB2312" w:eastAsia="仿宋_GB2312"/>
          <w:sz w:val="30"/>
        </w:rPr>
        <w:t>到货款后，</w:t>
      </w:r>
      <w:r>
        <w:rPr>
          <w:rFonts w:hint="eastAsia" w:ascii="仿宋_GB2312" w:hAnsi="宋体" w:eastAsia="仿宋_GB2312"/>
          <w:sz w:val="30"/>
          <w:szCs w:val="30"/>
          <w:lang w:val="zh-CN"/>
        </w:rPr>
        <w:t>按要求开具销售合同《出库通知单》</w:t>
      </w:r>
      <w:r>
        <w:rPr>
          <w:rFonts w:hint="eastAsia" w:ascii="仿宋_GB2312" w:eastAsia="仿宋_GB2312"/>
          <w:sz w:val="30"/>
        </w:rPr>
        <w:t>。</w:t>
      </w:r>
    </w:p>
    <w:p w14:paraId="5CCAC269">
      <w:pPr>
        <w:spacing w:line="560" w:lineRule="exact"/>
        <w:ind w:firstLine="600" w:firstLineChars="200"/>
        <w:rPr>
          <w:rFonts w:ascii="仿宋_GB2312" w:eastAsia="仿宋_GB2312"/>
          <w:sz w:val="30"/>
        </w:rPr>
      </w:pPr>
      <w:r>
        <w:rPr>
          <w:rFonts w:hint="eastAsia" w:ascii="仿宋_GB2312" w:eastAsia="仿宋_GB2312"/>
          <w:sz w:val="30"/>
          <w:lang w:val="en-US" w:eastAsia="zh-CN"/>
        </w:rPr>
        <w:t>交货方式：</w:t>
      </w:r>
      <w:r>
        <w:rPr>
          <w:rFonts w:hint="eastAsia" w:ascii="仿宋_GB2312" w:hAnsi="Times New Roman" w:eastAsia="仿宋_GB2312" w:cs="Times New Roman"/>
          <w:kern w:val="2"/>
          <w:sz w:val="30"/>
          <w:szCs w:val="24"/>
          <w:lang w:val="en-US" w:eastAsia="zh-CN" w:bidi="ar-SA"/>
        </w:rPr>
        <w:t>本次轮换按照"先进后出，边进边出"的原则，销售与采购同时进行。中标方入库、出库前须事先与委托方协商确定相关事宜，并以双方的手机短信通知(或书面通知)为准，中标方在信息中须注明收发货时间、数量、地点，委托方回复应予以明确答复。</w:t>
      </w:r>
      <w:r>
        <w:rPr>
          <w:rFonts w:hint="eastAsia" w:ascii="仿宋_GB2312" w:eastAsia="仿宋_GB2312"/>
          <w:sz w:val="30"/>
          <w:lang w:val="en-US" w:eastAsia="zh-CN"/>
        </w:rPr>
        <w:t>仓内交货，中标方自备垫仓板，负责装卸，费用自理且堆码整齐。</w:t>
      </w:r>
    </w:p>
    <w:p w14:paraId="4E2C3256">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第二十五条 </w:t>
      </w:r>
      <w:r>
        <w:rPr>
          <w:rFonts w:hint="eastAsia" w:ascii="仿宋_GB2312" w:eastAsia="仿宋_GB2312"/>
          <w:sz w:val="30"/>
          <w:szCs w:val="30"/>
        </w:rPr>
        <w:t>成交签订合同后，交易双方应及时协商出入库事宜。承储库点应积极配合，共同完成交割工作。</w:t>
      </w:r>
    </w:p>
    <w:p w14:paraId="368C1DE1">
      <w:pPr>
        <w:adjustRightInd w:val="0"/>
        <w:snapToGrid w:val="0"/>
        <w:spacing w:line="560" w:lineRule="exact"/>
        <w:ind w:firstLine="602" w:firstLineChars="200"/>
        <w:rPr>
          <w:rFonts w:ascii="仿宋_GB2312" w:eastAsia="仿宋_GB2312"/>
          <w:color w:val="FF0000"/>
          <w:sz w:val="30"/>
          <w:szCs w:val="30"/>
        </w:rPr>
      </w:pPr>
      <w:r>
        <w:rPr>
          <w:rFonts w:hint="eastAsia" w:ascii="仿宋_GB2312" w:eastAsia="仿宋_GB2312"/>
          <w:b/>
          <w:sz w:val="30"/>
          <w:szCs w:val="30"/>
        </w:rPr>
        <w:t>第二十六条</w:t>
      </w:r>
      <w:r>
        <w:rPr>
          <w:rFonts w:hint="eastAsia" w:ascii="仿宋_GB2312" w:eastAsia="仿宋_GB2312"/>
          <w:sz w:val="30"/>
          <w:szCs w:val="30"/>
        </w:rPr>
        <w:t xml:space="preserve"> 油脂出入库时交易双方共同进行检斤验质。销售标的质量以清单公示为准；数量以承储库点计量衡器为准，承储库计量衡器必须是经具有国家认可资质的技术监督部门鉴定合格的，且在鉴定的有效期内。</w:t>
      </w:r>
    </w:p>
    <w:p w14:paraId="5CCC1CEB">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第二十七条 </w:t>
      </w:r>
      <w:r>
        <w:rPr>
          <w:rFonts w:hint="eastAsia" w:ascii="仿宋_GB2312" w:eastAsia="仿宋_GB2312"/>
          <w:sz w:val="30"/>
          <w:szCs w:val="30"/>
        </w:rPr>
        <w:t>陈油出库时中标方需按中标销售合同价格在合同签订后</w:t>
      </w:r>
      <w:r>
        <w:rPr>
          <w:rFonts w:ascii="仿宋_GB2312" w:eastAsia="仿宋_GB2312"/>
          <w:sz w:val="30"/>
          <w:szCs w:val="30"/>
        </w:rPr>
        <w:t>5</w:t>
      </w:r>
      <w:r>
        <w:rPr>
          <w:rFonts w:hint="eastAsia" w:ascii="仿宋_GB2312" w:eastAsia="仿宋_GB2312"/>
          <w:sz w:val="30"/>
          <w:szCs w:val="30"/>
        </w:rPr>
        <w:t>日内将销售全部货款汇入安徽省粮食和物资储备保障中心（国家粮食安徽交易中心），并开具出库单到库方提货，陈油出库结束后，双方签署统一格式的《验收确认单》，安徽省粮食和物资储备保障中心（国家粮食安徽交易中心）将货款拨付给库方。</w:t>
      </w:r>
    </w:p>
    <w:p w14:paraId="390A7E00">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新油入库经</w:t>
      </w:r>
      <w:r>
        <w:rPr>
          <w:rFonts w:hint="eastAsia" w:ascii="仿宋_GB2312" w:eastAsia="仿宋_GB2312"/>
          <w:sz w:val="30"/>
          <w:szCs w:val="30"/>
          <w:lang w:eastAsia="zh-CN"/>
        </w:rPr>
        <w:t>濉溪县</w:t>
      </w:r>
      <w:r>
        <w:rPr>
          <w:rFonts w:hint="eastAsia" w:ascii="仿宋_GB2312" w:eastAsia="仿宋_GB2312"/>
          <w:sz w:val="30"/>
          <w:szCs w:val="30"/>
        </w:rPr>
        <w:t>粮食和物资储备局组织验收合格后一次性付清</w:t>
      </w:r>
      <w:r>
        <w:rPr>
          <w:rFonts w:hint="eastAsia" w:ascii="仿宋_GB2312" w:eastAsia="仿宋_GB2312"/>
          <w:sz w:val="30"/>
          <w:szCs w:val="30"/>
          <w:lang w:eastAsia="zh-CN"/>
        </w:rPr>
        <w:t>，</w:t>
      </w:r>
      <w:r>
        <w:rPr>
          <w:rFonts w:hint="eastAsia" w:ascii="仿宋_GB2312" w:eastAsia="仿宋_GB2312"/>
          <w:sz w:val="30"/>
          <w:szCs w:val="30"/>
        </w:rPr>
        <w:t>通过安徽省粮食和物资储备保障中心（国家粮食安徽交易中心）结算采购货款。销售、采购款均通过交易中心结算，且双方互相提供发票。</w:t>
      </w:r>
    </w:p>
    <w:p w14:paraId="59F76A60">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bCs/>
          <w:sz w:val="30"/>
          <w:szCs w:val="30"/>
        </w:rPr>
        <w:t>第二十八条</w:t>
      </w:r>
      <w:r>
        <w:rPr>
          <w:rFonts w:hint="eastAsia" w:ascii="仿宋_GB2312" w:eastAsia="仿宋_GB2312"/>
          <w:sz w:val="30"/>
          <w:szCs w:val="30"/>
        </w:rPr>
        <w:t xml:space="preserve"> </w:t>
      </w:r>
      <w:r>
        <w:rPr>
          <w:rFonts w:hint="eastAsia" w:ascii="仿宋_GB2312" w:eastAsia="仿宋_GB2312"/>
          <w:sz w:val="30"/>
          <w:szCs w:val="30"/>
          <w:lang w:val="en-US" w:eastAsia="zh-CN"/>
        </w:rPr>
        <w:t>大豆油</w:t>
      </w:r>
      <w:r>
        <w:rPr>
          <w:rFonts w:hint="eastAsia" w:ascii="仿宋_GB2312" w:eastAsia="仿宋_GB2312"/>
          <w:sz w:val="30"/>
          <w:szCs w:val="30"/>
        </w:rPr>
        <w:t>验收合格，根据国家有关政策规定开具正式发票交给对方后，双方签署统一格式的《验收确认单》一式三份，双方各持一份，另一份交安徽省粮食和物资储备保障中心（国家粮食安徽交易中心）作为结算依据，该批货物交割完毕。</w:t>
      </w:r>
    </w:p>
    <w:p w14:paraId="599E3A00">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第二十九条</w:t>
      </w:r>
      <w:r>
        <w:rPr>
          <w:rFonts w:hint="eastAsia" w:ascii="仿宋_GB2312" w:eastAsia="仿宋_GB2312"/>
          <w:sz w:val="30"/>
          <w:szCs w:val="30"/>
        </w:rPr>
        <w:t xml:space="preserve"> 交易客户如对数量、质量有异议，应停止接货并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2265AE01">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第三十条</w:t>
      </w:r>
      <w:r>
        <w:rPr>
          <w:rFonts w:hint="eastAsia" w:ascii="仿宋_GB2312" w:eastAsia="仿宋_GB2312"/>
          <w:sz w:val="30"/>
          <w:szCs w:val="30"/>
        </w:rPr>
        <w:t>安徽省粮食和物资储备保障中心（国家粮食安徽交易中心）向中标方</w:t>
      </w:r>
      <w:r>
        <w:rPr>
          <w:rFonts w:hint="eastAsia" w:ascii="仿宋_GB2312" w:eastAsia="仿宋_GB2312"/>
          <w:b/>
          <w:sz w:val="30"/>
          <w:szCs w:val="30"/>
        </w:rPr>
        <w:t>按销售标的成交金额的2‰</w:t>
      </w:r>
      <w:r>
        <w:rPr>
          <w:rFonts w:hint="eastAsia" w:ascii="仿宋_GB2312" w:eastAsia="仿宋_GB2312"/>
          <w:sz w:val="30"/>
          <w:szCs w:val="30"/>
        </w:rPr>
        <w:t>收取手续费，交易手续费从客户保证金中扣除。</w:t>
      </w:r>
    </w:p>
    <w:p w14:paraId="249B22EE">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 xml:space="preserve">第三十一条 </w:t>
      </w:r>
      <w:r>
        <w:rPr>
          <w:rFonts w:hint="eastAsia" w:ascii="仿宋_GB2312" w:hAnsi="宋体" w:eastAsia="仿宋_GB2312"/>
          <w:sz w:val="30"/>
          <w:szCs w:val="30"/>
          <w:lang w:val="zh-CN"/>
        </w:rPr>
        <w:t>中标方预交的履约保证金，在成交后可转作货款，</w:t>
      </w:r>
      <w:r>
        <w:rPr>
          <w:rFonts w:hint="eastAsia" w:ascii="仿宋_GB2312" w:eastAsia="仿宋_GB2312"/>
          <w:sz w:val="30"/>
        </w:rPr>
        <w:t>合同执行完毕后退回。</w:t>
      </w:r>
      <w:r>
        <w:rPr>
          <w:rFonts w:hint="eastAsia" w:ascii="仿宋_GB2312" w:eastAsia="仿宋_GB2312"/>
          <w:sz w:val="30"/>
          <w:szCs w:val="30"/>
        </w:rPr>
        <w:t>合同执行完毕后，交易客户凭相关手续向安徽省粮食和物资储备保障中心（国家粮食安徽交易中心）申请退回保证金。经安徽省粮食和物资储备保障中心（国家粮食安徽交易中心）核实后，2个工作日内退回保证金。</w:t>
      </w:r>
    </w:p>
    <w:p w14:paraId="36201D4B">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第七章 违约处罚</w:t>
      </w:r>
    </w:p>
    <w:p w14:paraId="48D46845">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第三十二条 </w:t>
      </w:r>
      <w:r>
        <w:rPr>
          <w:rFonts w:hint="eastAsia" w:ascii="仿宋_GB2312" w:eastAsia="仿宋_GB2312"/>
          <w:sz w:val="30"/>
          <w:szCs w:val="30"/>
        </w:rPr>
        <w:t>中标客户没有在合同规定的时间内完成新油入库，视为违约，合同终止，由安徽省粮食和物资储备保障中心（国家粮食安徽交易中心）按本细则第五条所列标准，从所交纳的保证金或货款中扣除相应的履约保证金和交易保证金，分别支付给库方和安徽省粮食和物资储备保障中心（国家粮食安徽交易中心）。</w:t>
      </w:r>
    </w:p>
    <w:p w14:paraId="35AA739F">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第三十三条 </w:t>
      </w:r>
      <w:r>
        <w:rPr>
          <w:rFonts w:hint="eastAsia" w:ascii="仿宋_GB2312" w:eastAsia="仿宋_GB2312"/>
          <w:sz w:val="30"/>
          <w:szCs w:val="30"/>
        </w:rPr>
        <w:t>库方未能在规定的时间积极配合，按合同规定的时间、质量、数量出入库的，视为违约，安徽省粮食和物资储备保障中心（国家粮食安徽交易中心）将依法进行追缴保证金，并从中扣除相应的履约保证金和交易保证金，分别支付给交易客户和安徽省粮食和物资储备保障中心（国家粮食安徽交易中心），同时取消其承储计划。</w:t>
      </w:r>
    </w:p>
    <w:p w14:paraId="54891F64">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第三十四条 </w:t>
      </w:r>
      <w:r>
        <w:rPr>
          <w:rFonts w:hint="eastAsia" w:ascii="仿宋_GB2312" w:eastAsia="仿宋_GB2312"/>
          <w:sz w:val="30"/>
          <w:szCs w:val="30"/>
        </w:rPr>
        <w:t>交易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03BD30E6">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第三十五条 </w:t>
      </w:r>
      <w:r>
        <w:rPr>
          <w:rFonts w:hint="eastAsia" w:ascii="仿宋_GB2312" w:eastAsia="仿宋_GB2312"/>
          <w:sz w:val="30"/>
          <w:szCs w:val="30"/>
        </w:rPr>
        <w:t>交易双方除上述情况外，一方不能履行或者不能完全履行合同时，另一方应及时以书面形式报安徽省粮食和物资储备保障中心（国家粮食安徽交易中心）备案，并积极与对方协商解决；协商不一致的，双方可协商向仲裁机构申请裁定，也可单方直接向人民法院起诉。</w:t>
      </w:r>
    </w:p>
    <w:p w14:paraId="6CF2E610">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第八章 附 则</w:t>
      </w:r>
    </w:p>
    <w:p w14:paraId="76B2DD30">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第三十六条 </w:t>
      </w:r>
      <w:r>
        <w:rPr>
          <w:rFonts w:hint="eastAsia" w:ascii="仿宋_GB2312" w:eastAsia="仿宋_GB2312"/>
          <w:sz w:val="30"/>
          <w:szCs w:val="30"/>
        </w:rPr>
        <w:t>安徽省粮食和物资储备保障中心（国家粮食安徽交易中心）负责监督合同的执行，协调处理商务等问题。如遇未尽事宜，由安徽省粮食和物资储备保障中心（国家粮食安徽交易中心）与有关部门协商处理。</w:t>
      </w:r>
    </w:p>
    <w:p w14:paraId="308F3737">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第三十七条</w:t>
      </w:r>
      <w:r>
        <w:rPr>
          <w:rFonts w:hint="eastAsia" w:ascii="仿宋_GB2312" w:eastAsia="仿宋_GB2312"/>
          <w:sz w:val="30"/>
          <w:szCs w:val="30"/>
        </w:rPr>
        <w:t xml:space="preserve"> 本交易细则由安徽省粮食和物资储备保障中心（国家粮食安徽交易中心）负责解释。</w:t>
      </w:r>
    </w:p>
    <w:p w14:paraId="7740EDC7">
      <w:pPr>
        <w:widowControl/>
        <w:adjustRightInd w:val="0"/>
        <w:snapToGrid w:val="0"/>
        <w:spacing w:line="560" w:lineRule="exact"/>
        <w:jc w:val="left"/>
        <w:rPr>
          <w:rFonts w:ascii="仿宋_GB2312" w:hAnsi="仿宋_GB2312" w:eastAsia="仿宋_GB2312" w:cs="仿宋_GB2312"/>
          <w:kern w:val="0"/>
          <w:sz w:val="32"/>
          <w:szCs w:val="32"/>
          <w:u w:val="single"/>
        </w:rPr>
      </w:pPr>
    </w:p>
    <w:p w14:paraId="25664A2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1CD92825"/>
    <w:rsid w:val="000266DE"/>
    <w:rsid w:val="00027CA0"/>
    <w:rsid w:val="00027D4B"/>
    <w:rsid w:val="000A17D2"/>
    <w:rsid w:val="000C08F0"/>
    <w:rsid w:val="000F1817"/>
    <w:rsid w:val="001217CA"/>
    <w:rsid w:val="00142247"/>
    <w:rsid w:val="00144B86"/>
    <w:rsid w:val="001C17F2"/>
    <w:rsid w:val="002376EB"/>
    <w:rsid w:val="002C4E8A"/>
    <w:rsid w:val="002C7840"/>
    <w:rsid w:val="00354332"/>
    <w:rsid w:val="003A2AB0"/>
    <w:rsid w:val="003B1428"/>
    <w:rsid w:val="003B4BD8"/>
    <w:rsid w:val="0040281D"/>
    <w:rsid w:val="00425CF6"/>
    <w:rsid w:val="00496377"/>
    <w:rsid w:val="00501987"/>
    <w:rsid w:val="00504F40"/>
    <w:rsid w:val="00646685"/>
    <w:rsid w:val="006D3516"/>
    <w:rsid w:val="00750CCC"/>
    <w:rsid w:val="00787663"/>
    <w:rsid w:val="007C396A"/>
    <w:rsid w:val="007D1210"/>
    <w:rsid w:val="00847D43"/>
    <w:rsid w:val="008A7B89"/>
    <w:rsid w:val="008B09EA"/>
    <w:rsid w:val="00945B33"/>
    <w:rsid w:val="00975601"/>
    <w:rsid w:val="009A3CE4"/>
    <w:rsid w:val="009B74CA"/>
    <w:rsid w:val="009D0E8B"/>
    <w:rsid w:val="00A23647"/>
    <w:rsid w:val="00A579D9"/>
    <w:rsid w:val="00A85CDA"/>
    <w:rsid w:val="00AF5FB8"/>
    <w:rsid w:val="00B43672"/>
    <w:rsid w:val="00B87A3F"/>
    <w:rsid w:val="00BC7FE1"/>
    <w:rsid w:val="00BD4CC5"/>
    <w:rsid w:val="00C05B20"/>
    <w:rsid w:val="00C91E02"/>
    <w:rsid w:val="00CD289F"/>
    <w:rsid w:val="00D00FBE"/>
    <w:rsid w:val="00D707E4"/>
    <w:rsid w:val="00DB53B8"/>
    <w:rsid w:val="00E01E00"/>
    <w:rsid w:val="00E465ED"/>
    <w:rsid w:val="00EA1DCB"/>
    <w:rsid w:val="00FE320C"/>
    <w:rsid w:val="06B74313"/>
    <w:rsid w:val="07F6580F"/>
    <w:rsid w:val="0E8F2A94"/>
    <w:rsid w:val="1C26594D"/>
    <w:rsid w:val="1CD92825"/>
    <w:rsid w:val="287037D3"/>
    <w:rsid w:val="371F6FD0"/>
    <w:rsid w:val="3CBC7E7B"/>
    <w:rsid w:val="4CB70A84"/>
    <w:rsid w:val="4EAA2B1D"/>
    <w:rsid w:val="550F579A"/>
    <w:rsid w:val="77F850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qFormat/>
    <w:uiPriority w:val="0"/>
    <w:pPr>
      <w:tabs>
        <w:tab w:val="center" w:pos="4153"/>
        <w:tab w:val="right" w:pos="8306"/>
      </w:tabs>
      <w:snapToGrid w:val="0"/>
      <w:jc w:val="left"/>
    </w:pPr>
    <w:rPr>
      <w:sz w:val="18"/>
      <w:szCs w:val="18"/>
    </w:rPr>
  </w:style>
  <w:style w:type="paragraph" w:styleId="3">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99"/>
    <w:pPr>
      <w:jc w:val="left"/>
    </w:pPr>
    <w:rPr>
      <w:kern w:val="0"/>
      <w:sz w:val="24"/>
      <w:szCs w:val="20"/>
    </w:rPr>
  </w:style>
  <w:style w:type="character" w:styleId="7">
    <w:name w:val="Strong"/>
    <w:basedOn w:val="6"/>
    <w:qFormat/>
    <w:uiPriority w:val="22"/>
    <w:rPr>
      <w:b/>
      <w:bCs/>
    </w:rPr>
  </w:style>
  <w:style w:type="character" w:styleId="8">
    <w:name w:val="Hyperlink"/>
    <w:qFormat/>
    <w:uiPriority w:val="0"/>
    <w:rPr>
      <w:color w:val="0000FF"/>
      <w:u w:val="single"/>
    </w:rPr>
  </w:style>
  <w:style w:type="character" w:customStyle="1" w:styleId="9">
    <w:name w:val="页眉 字符"/>
    <w:basedOn w:val="6"/>
    <w:link w:val="3"/>
    <w:qFormat/>
    <w:uiPriority w:val="0"/>
    <w:rPr>
      <w:rFonts w:ascii="Times New Roman" w:hAnsi="Times New Roman" w:eastAsia="宋体" w:cs="Times New Roman"/>
      <w:kern w:val="2"/>
      <w:sz w:val="18"/>
      <w:szCs w:val="18"/>
    </w:rPr>
  </w:style>
  <w:style w:type="character" w:customStyle="1" w:styleId="10">
    <w:name w:val="页脚 字符"/>
    <w:basedOn w:val="6"/>
    <w:link w:val="2"/>
    <w:qFormat/>
    <w:uiPriority w:val="0"/>
    <w:rPr>
      <w:rFonts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3820</Words>
  <Characters>3894</Characters>
  <Lines>27</Lines>
  <Paragraphs>7</Paragraphs>
  <TotalTime>0</TotalTime>
  <ScaleCrop>false</ScaleCrop>
  <LinksUpToDate>false</LinksUpToDate>
  <CharactersWithSpaces>3972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2024-05-07T01:05:00Z</dcterms:created>
  <dc:creator>LENOVO</dc:creator>
  <cp:lastModifiedBy>Lk</cp:lastModifiedBy>
  <dcterms:modified xsi:type="dcterms:W3CDTF">2026-01-05T09:00:34Z</dcterms:modified>
  <cp:revision>59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47E8177C57BC4F2FBCD5066E4E32F512_11</vt:lpwstr>
  </property>
  <property fmtid="{D5CDD505-2E9C-101B-9397-08002B2CF9AE}" pid="4" name="KSOTemplateDocerSaveRecord">
    <vt:lpwstr>eyJoZGlkIjoiYzgzNjJiYzc5NzRmZmQyYWViZDYwNmNmNTc1MGU1NjMiLCJ1c2VySWQiOiIyNjAzOTAzMDAifQ==</vt:lpwstr>
  </property>
</Properties>
</file>