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38CCBD">
      <w:pPr>
        <w:spacing w:line="800" w:lineRule="exact"/>
        <w:jc w:val="center"/>
        <w:rPr>
          <w:rFonts w:hint="eastAsia" w:ascii="方正小标宋_GBK" w:hAnsi="方正小标宋_GBK" w:eastAsia="方正小标宋_GBK" w:cs="方正小标宋_GBK"/>
          <w:sz w:val="48"/>
          <w:szCs w:val="48"/>
        </w:rPr>
      </w:pPr>
      <w:r>
        <w:rPr>
          <w:rFonts w:hint="eastAsia" w:ascii="方正小标宋_GBK" w:hAnsi="方正小标宋_GBK" w:eastAsia="方正小标宋_GBK" w:cs="方正小标宋_GBK"/>
          <w:sz w:val="48"/>
          <w:szCs w:val="48"/>
        </w:rPr>
        <w:t>铜陵市北斗山粮库有限公司稻谷竞价采购交易细则</w:t>
      </w:r>
    </w:p>
    <w:p w14:paraId="3E492300">
      <w:pPr>
        <w:spacing w:line="800" w:lineRule="exact"/>
        <w:jc w:val="center"/>
        <w:rPr>
          <w:rStyle w:val="14"/>
          <w:rFonts w:ascii="黑体" w:eastAsia="黑体" w:cs="Times New Roman"/>
          <w:bCs/>
          <w:sz w:val="32"/>
        </w:rPr>
      </w:pPr>
      <w:r>
        <w:rPr>
          <w:rStyle w:val="14"/>
          <w:rFonts w:ascii="黑体" w:eastAsia="黑体" w:cs="Times New Roman"/>
          <w:bCs/>
          <w:sz w:val="32"/>
        </w:rPr>
        <w:t>第一章  总  则</w:t>
      </w:r>
    </w:p>
    <w:p w14:paraId="480C229F">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第一条</w:t>
      </w:r>
      <w:r>
        <w:rPr>
          <w:rStyle w:val="14"/>
          <w:rFonts w:ascii="仿宋_GB2312" w:eastAsia="仿宋_GB2312"/>
          <w:sz w:val="30"/>
        </w:rPr>
        <w:t xml:space="preserve">  </w:t>
      </w:r>
      <w:r>
        <w:rPr>
          <w:rStyle w:val="14"/>
          <w:rFonts w:ascii="仿宋_GB2312" w:eastAsia="仿宋_GB2312" w:cs="Times New Roman"/>
          <w:sz w:val="30"/>
        </w:rPr>
        <w:t>受</w:t>
      </w:r>
      <w:r>
        <w:rPr>
          <w:rStyle w:val="14"/>
          <w:rFonts w:hint="eastAsia" w:ascii="仿宋_GB2312" w:eastAsia="仿宋_GB2312" w:cs="Times New Roman"/>
          <w:sz w:val="30"/>
        </w:rPr>
        <w:t>铜陵市北斗山粮库有限公司</w:t>
      </w:r>
      <w:r>
        <w:rPr>
          <w:rStyle w:val="14"/>
          <w:rFonts w:ascii="仿宋_GB2312" w:eastAsia="仿宋_GB2312" w:cs="Times New Roman"/>
          <w:sz w:val="30"/>
        </w:rPr>
        <w:t>的委托，</w:t>
      </w:r>
      <w:r>
        <w:rPr>
          <w:rStyle w:val="14"/>
          <w:rFonts w:hint="eastAsia" w:ascii="仿宋_GB2312" w:eastAsia="仿宋_GB2312" w:cs="Times New Roman"/>
          <w:sz w:val="30"/>
        </w:rPr>
        <w:t>安徽省粮食和物资储备保障中心（国家粮食安徽交易中心）承担</w:t>
      </w:r>
      <w:r>
        <w:rPr>
          <w:rStyle w:val="14"/>
          <w:rFonts w:ascii="仿宋_GB2312" w:eastAsia="仿宋_GB2312" w:cs="Times New Roman"/>
          <w:sz w:val="30"/>
        </w:rPr>
        <w:t>本次</w:t>
      </w:r>
      <w:r>
        <w:rPr>
          <w:rStyle w:val="14"/>
          <w:rFonts w:hint="eastAsia" w:ascii="仿宋_GB2312" w:eastAsia="仿宋_GB2312" w:cs="Times New Roman"/>
          <w:sz w:val="30"/>
          <w:lang w:val="en-US" w:eastAsia="zh-CN"/>
        </w:rPr>
        <w:t>稻谷</w:t>
      </w:r>
      <w:r>
        <w:rPr>
          <w:rStyle w:val="14"/>
          <w:rFonts w:hint="eastAsia" w:ascii="仿宋_GB2312" w:eastAsia="仿宋_GB2312" w:cs="Times New Roman"/>
          <w:sz w:val="30"/>
        </w:rPr>
        <w:t>竞价</w:t>
      </w:r>
      <w:r>
        <w:rPr>
          <w:rStyle w:val="14"/>
          <w:rFonts w:ascii="仿宋_GB2312" w:eastAsia="仿宋_GB2312" w:cs="Times New Roman"/>
          <w:sz w:val="30"/>
        </w:rPr>
        <w:t>采购的组织工作。为保证交易活动顺利进行</w:t>
      </w:r>
      <w:r>
        <w:rPr>
          <w:rStyle w:val="14"/>
          <w:rFonts w:ascii="仿宋_GB2312" w:eastAsia="仿宋_GB2312"/>
          <w:sz w:val="30"/>
        </w:rPr>
        <w:t>，特制定</w:t>
      </w:r>
      <w:r>
        <w:rPr>
          <w:rStyle w:val="14"/>
          <w:rFonts w:ascii="仿宋_GB2312" w:hAnsi="宋体" w:eastAsia="仿宋_GB2312"/>
          <w:spacing w:val="6"/>
          <w:sz w:val="30"/>
          <w:szCs w:val="30"/>
          <w:lang w:val="zh-CN"/>
        </w:rPr>
        <w:t>本交易细则。</w:t>
      </w:r>
    </w:p>
    <w:p w14:paraId="6CE65AC1">
      <w:pPr>
        <w:spacing w:line="560" w:lineRule="exact"/>
        <w:ind w:firstLine="600" w:firstLineChars="200"/>
        <w:rPr>
          <w:rStyle w:val="14"/>
          <w:rFonts w:hint="eastAsia" w:ascii="仿宋_GB2312" w:eastAsia="仿宋_GB2312"/>
          <w:sz w:val="30"/>
          <w:lang w:val="en-US" w:eastAsia="zh-CN"/>
        </w:rPr>
      </w:pPr>
      <w:r>
        <w:rPr>
          <w:rStyle w:val="14"/>
          <w:rFonts w:ascii="黑体" w:eastAsia="黑体"/>
          <w:sz w:val="30"/>
        </w:rPr>
        <w:t>第二条</w:t>
      </w:r>
      <w:r>
        <w:rPr>
          <w:rStyle w:val="14"/>
          <w:rFonts w:ascii="仿宋_GB2312" w:eastAsia="仿宋_GB2312"/>
          <w:sz w:val="30"/>
        </w:rPr>
        <w:t xml:space="preserve">  </w:t>
      </w:r>
      <w:r>
        <w:rPr>
          <w:rStyle w:val="14"/>
          <w:rFonts w:hint="eastAsia" w:ascii="仿宋_GB2312" w:eastAsia="仿宋_GB2312"/>
          <w:sz w:val="30"/>
          <w:lang w:val="en-US" w:eastAsia="zh-CN"/>
        </w:rPr>
        <w:t>委托方</w:t>
      </w:r>
      <w:r>
        <w:rPr>
          <w:rStyle w:val="14"/>
          <w:rFonts w:ascii="仿宋_GB2312" w:eastAsia="仿宋_GB2312"/>
          <w:sz w:val="30"/>
        </w:rPr>
        <w:t>作为本次交易活动的买方代表，具体负责入库、商务处理等工作，并承担相应的责任。本次交易的卖方必须是</w:t>
      </w:r>
      <w:r>
        <w:rPr>
          <w:rStyle w:val="14"/>
          <w:rFonts w:ascii="仿宋_GB2312" w:hAnsi="宋体" w:eastAsia="仿宋_GB2312"/>
          <w:spacing w:val="6"/>
          <w:sz w:val="30"/>
          <w:szCs w:val="30"/>
          <w:lang w:val="zh-CN"/>
        </w:rPr>
        <w:t>自愿报名的国内具有粮食经营资格</w:t>
      </w:r>
      <w:r>
        <w:rPr>
          <w:rStyle w:val="14"/>
          <w:rFonts w:ascii="仿宋_GB2312" w:eastAsia="仿宋_GB2312"/>
          <w:sz w:val="30"/>
        </w:rPr>
        <w:t>的企业</w:t>
      </w:r>
      <w:r>
        <w:rPr>
          <w:rStyle w:val="14"/>
          <w:rFonts w:hint="eastAsia" w:ascii="仿宋_GB2312" w:eastAsia="仿宋_GB2312"/>
          <w:sz w:val="30"/>
          <w:lang w:val="en-US" w:eastAsia="zh-CN"/>
        </w:rPr>
        <w:t>和个体工商户。</w:t>
      </w:r>
    </w:p>
    <w:p w14:paraId="665EB34F">
      <w:pPr>
        <w:spacing w:line="560" w:lineRule="exact"/>
        <w:ind w:firstLine="600" w:firstLineChars="200"/>
        <w:rPr>
          <w:rStyle w:val="14"/>
          <w:rFonts w:ascii="仿宋_GB2312" w:eastAsia="仿宋_GB2312"/>
          <w:sz w:val="30"/>
        </w:rPr>
      </w:pPr>
      <w:r>
        <w:rPr>
          <w:rStyle w:val="14"/>
          <w:rFonts w:ascii="黑体" w:eastAsia="黑体"/>
          <w:sz w:val="30"/>
        </w:rPr>
        <w:t>第三条</w:t>
      </w:r>
      <w:r>
        <w:rPr>
          <w:rStyle w:val="14"/>
          <w:rFonts w:ascii="仿宋_GB2312" w:eastAsia="仿宋_GB2312"/>
          <w:sz w:val="30"/>
        </w:rPr>
        <w:t xml:space="preserve">  </w:t>
      </w:r>
      <w:r>
        <w:rPr>
          <w:rStyle w:val="14"/>
          <w:rFonts w:hint="eastAsia" w:ascii="仿宋_GB2312" w:eastAsia="仿宋_GB2312"/>
          <w:sz w:val="30"/>
        </w:rPr>
        <w:t>安徽省粮食和物资储备保障中心（国家粮食安徽交易中心）</w:t>
      </w:r>
      <w:r>
        <w:rPr>
          <w:rStyle w:val="14"/>
          <w:rFonts w:ascii="仿宋_GB2312" w:eastAsia="仿宋_GB2312"/>
          <w:sz w:val="30"/>
        </w:rPr>
        <w:t>按照“公开、公平、公正”的原则组织招标采购，参加交易的各方必须遵守本细则。</w:t>
      </w:r>
    </w:p>
    <w:p w14:paraId="36B8FA82">
      <w:pPr>
        <w:spacing w:line="800" w:lineRule="exact"/>
        <w:jc w:val="center"/>
        <w:rPr>
          <w:rStyle w:val="14"/>
          <w:rFonts w:ascii="黑体" w:eastAsia="黑体" w:cs="Times New Roman"/>
          <w:bCs/>
          <w:sz w:val="32"/>
        </w:rPr>
      </w:pPr>
      <w:r>
        <w:rPr>
          <w:rStyle w:val="14"/>
          <w:rFonts w:ascii="黑体" w:eastAsia="黑体" w:cs="Times New Roman"/>
          <w:bCs/>
          <w:sz w:val="32"/>
        </w:rPr>
        <w:t>第二章  交易准备</w:t>
      </w:r>
    </w:p>
    <w:p w14:paraId="3F52A816">
      <w:pPr>
        <w:spacing w:line="560" w:lineRule="exact"/>
        <w:ind w:firstLine="600" w:firstLineChars="200"/>
        <w:rPr>
          <w:rStyle w:val="14"/>
          <w:rFonts w:hint="eastAsia" w:ascii="仿宋_GB2312" w:eastAsia="仿宋_GB2312"/>
          <w:sz w:val="30"/>
          <w:lang w:eastAsia="zh-CN"/>
        </w:rPr>
      </w:pPr>
      <w:r>
        <w:rPr>
          <w:rStyle w:val="14"/>
          <w:rFonts w:ascii="黑体" w:eastAsia="黑体"/>
          <w:sz w:val="30"/>
        </w:rPr>
        <w:t>第四条</w:t>
      </w:r>
      <w:r>
        <w:rPr>
          <w:rStyle w:val="14"/>
          <w:rFonts w:ascii="仿宋_GB2312" w:eastAsia="仿宋_GB2312"/>
          <w:sz w:val="30"/>
        </w:rPr>
        <w:t xml:space="preserve">  </w:t>
      </w:r>
      <w:r>
        <w:rPr>
          <w:rStyle w:val="14"/>
          <w:rFonts w:hint="eastAsia" w:ascii="仿宋_GB2312" w:eastAsia="仿宋_GB2312"/>
          <w:sz w:val="30"/>
        </w:rPr>
        <w:t>委托方须向安徽省粮食和物资储备保障中心（国家粮食安徽交易中心）提供《采购委托书》、采购清单等相关文件并缴纳保证金</w:t>
      </w:r>
      <w:r>
        <w:rPr>
          <w:rStyle w:val="14"/>
          <w:rFonts w:hint="eastAsia" w:ascii="仿宋_GB2312" w:eastAsia="仿宋_GB2312"/>
          <w:sz w:val="30"/>
          <w:lang w:eastAsia="zh-CN"/>
        </w:rPr>
        <w:t>。</w:t>
      </w:r>
    </w:p>
    <w:p w14:paraId="67A051EE">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第五条</w:t>
      </w:r>
      <w:r>
        <w:rPr>
          <w:rStyle w:val="14"/>
          <w:rFonts w:ascii="仿宋_GB2312" w:eastAsia="仿宋_GB2312"/>
          <w:sz w:val="30"/>
        </w:rPr>
        <w:t xml:space="preserve"> </w:t>
      </w:r>
      <w:r>
        <w:rPr>
          <w:rStyle w:val="14"/>
          <w:rFonts w:ascii="仿宋_GB2312" w:hAnsi="宋体" w:eastAsia="仿宋_GB2312"/>
          <w:color w:val="0000FF"/>
          <w:sz w:val="30"/>
          <w:szCs w:val="30"/>
        </w:rPr>
        <w:t xml:space="preserve"> </w:t>
      </w:r>
      <w:r>
        <w:rPr>
          <w:rStyle w:val="14"/>
          <w:rFonts w:hint="eastAsia" w:ascii="仿宋_GB2312" w:hAnsi="宋体" w:eastAsia="仿宋_GB2312"/>
          <w:sz w:val="30"/>
          <w:szCs w:val="30"/>
          <w:lang w:val="zh-CN"/>
        </w:rPr>
        <w:t>参加交易的客户须交验企业营业执照副本及复印件、法人身份证复印件、交易代表身份证原件及复印件、单位公章或合同专用章。</w:t>
      </w:r>
    </w:p>
    <w:p w14:paraId="64D03042">
      <w:pPr>
        <w:spacing w:line="560" w:lineRule="exact"/>
        <w:ind w:firstLine="600" w:firstLineChars="200"/>
        <w:rPr>
          <w:rStyle w:val="14"/>
          <w:rFonts w:ascii="仿宋_GB2312" w:eastAsia="仿宋_GB2312"/>
          <w:sz w:val="30"/>
        </w:rPr>
      </w:pPr>
      <w:r>
        <w:rPr>
          <w:rStyle w:val="14"/>
          <w:rFonts w:hint="eastAsia" w:ascii="仿宋_GB2312" w:eastAsia="仿宋_GB2312"/>
          <w:sz w:val="30"/>
        </w:rPr>
        <w:t>委托方和</w:t>
      </w:r>
      <w:r>
        <w:rPr>
          <w:rStyle w:val="14"/>
          <w:rFonts w:ascii="仿宋_GB2312" w:eastAsia="仿宋_GB2312"/>
          <w:sz w:val="30"/>
        </w:rPr>
        <w:t>交易客户须向安徽省粮食和物资储备保障中心（国家粮食安徽交易中心）预交保证</w:t>
      </w:r>
      <w:r>
        <w:rPr>
          <w:rStyle w:val="14"/>
          <w:rFonts w:ascii="仿宋_GB2312" w:eastAsia="仿宋_GB2312"/>
          <w:color w:val="000000"/>
          <w:sz w:val="30"/>
        </w:rPr>
        <w:t>金</w:t>
      </w:r>
      <w:r>
        <w:rPr>
          <w:rStyle w:val="14"/>
          <w:rFonts w:hint="eastAsia" w:ascii="仿宋_GB2312" w:eastAsia="仿宋_GB2312"/>
          <w:color w:val="000000"/>
          <w:sz w:val="30"/>
          <w:lang w:val="en-US" w:eastAsia="zh-CN"/>
        </w:rPr>
        <w:t>110</w:t>
      </w:r>
      <w:r>
        <w:rPr>
          <w:rStyle w:val="14"/>
          <w:rFonts w:ascii="仿宋_GB2312" w:eastAsia="仿宋_GB2312"/>
          <w:color w:val="000000"/>
          <w:sz w:val="30"/>
        </w:rPr>
        <w:t>元/吨（含交易保证金10元/吨和履约保证金</w:t>
      </w:r>
      <w:r>
        <w:rPr>
          <w:rStyle w:val="14"/>
          <w:rFonts w:hint="eastAsia" w:ascii="仿宋_GB2312" w:eastAsia="仿宋_GB2312"/>
          <w:color w:val="000000"/>
          <w:sz w:val="30"/>
          <w:lang w:val="en-US" w:eastAsia="zh-CN"/>
        </w:rPr>
        <w:t>100</w:t>
      </w:r>
      <w:r>
        <w:rPr>
          <w:rStyle w:val="14"/>
          <w:rFonts w:ascii="仿宋_GB2312" w:eastAsia="仿宋_GB2312"/>
          <w:color w:val="000000"/>
          <w:sz w:val="30"/>
        </w:rPr>
        <w:t>元/吨）</w:t>
      </w:r>
      <w:r>
        <w:rPr>
          <w:rStyle w:val="14"/>
          <w:rFonts w:ascii="仿宋_GB2312" w:eastAsia="仿宋_GB2312"/>
          <w:sz w:val="30"/>
        </w:rPr>
        <w:t>，交易前必须到帐，付款时应注明交易会名称并向安徽省粮食和物资储备保障中心（国家粮食安徽交易中心）进行确认。保证金不足者不能继续交易。</w:t>
      </w:r>
    </w:p>
    <w:p w14:paraId="333C1024">
      <w:pPr>
        <w:spacing w:line="560" w:lineRule="exact"/>
        <w:ind w:firstLine="600" w:firstLineChars="200"/>
        <w:rPr>
          <w:rStyle w:val="14"/>
          <w:rFonts w:ascii="仿宋_GB2312" w:eastAsia="仿宋_GB2312"/>
          <w:sz w:val="30"/>
        </w:rPr>
      </w:pPr>
      <w:r>
        <w:rPr>
          <w:rStyle w:val="14"/>
          <w:rFonts w:ascii="仿宋_GB2312" w:eastAsia="仿宋_GB2312"/>
          <w:sz w:val="30"/>
        </w:rPr>
        <w:t>安徽省粮食和物资储备保障中心（国家粮食安徽交易中心）保证金及结算账户：</w:t>
      </w:r>
    </w:p>
    <w:p w14:paraId="5E3136A5">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收款单位名称：安徽省粮食和物资储备保障中心</w:t>
      </w:r>
    </w:p>
    <w:p w14:paraId="76A487DF">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1、开户银行：中国农业发展银行合肥市金寨路支行 </w:t>
      </w:r>
    </w:p>
    <w:p w14:paraId="226D42A2">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账号：2033 4140 0101 0000 0260</w:t>
      </w:r>
      <w:r>
        <w:rPr>
          <w:rStyle w:val="14"/>
          <w:rFonts w:ascii="仿宋_GB2312" w:eastAsia="仿宋_GB2312"/>
          <w:sz w:val="30"/>
        </w:rPr>
        <w:t xml:space="preserve"> </w:t>
      </w:r>
      <w:r>
        <w:rPr>
          <w:rStyle w:val="14"/>
          <w:rFonts w:hint="eastAsia" w:ascii="仿宋_GB2312" w:eastAsia="仿宋_GB2312"/>
          <w:sz w:val="30"/>
        </w:rPr>
        <w:t>831；</w:t>
      </w:r>
    </w:p>
    <w:p w14:paraId="0EEA58AB">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2、开户银行：徽商银行合肥新华支行</w:t>
      </w:r>
    </w:p>
    <w:p w14:paraId="79A3ECF0">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账号：5200 5068 3601 0000</w:t>
      </w:r>
      <w:r>
        <w:rPr>
          <w:rStyle w:val="14"/>
          <w:rFonts w:ascii="仿宋_GB2312" w:eastAsia="仿宋_GB2312"/>
          <w:sz w:val="30"/>
        </w:rPr>
        <w:t xml:space="preserve"> </w:t>
      </w:r>
      <w:r>
        <w:rPr>
          <w:rStyle w:val="14"/>
          <w:rFonts w:hint="eastAsia" w:ascii="仿宋_GB2312" w:eastAsia="仿宋_GB2312"/>
          <w:sz w:val="30"/>
        </w:rPr>
        <w:t>02</w:t>
      </w:r>
    </w:p>
    <w:p w14:paraId="0B55A300">
      <w:pPr>
        <w:ind w:firstLine="600" w:firstLineChars="200"/>
        <w:rPr>
          <w:rStyle w:val="14"/>
          <w:rFonts w:ascii="仿宋_GB2312" w:hAnsi="宋体" w:eastAsia="仿宋_GB2312"/>
          <w:sz w:val="30"/>
          <w:szCs w:val="30"/>
          <w:lang w:val="zh-CN"/>
        </w:rPr>
      </w:pPr>
      <w:r>
        <w:rPr>
          <w:rStyle w:val="14"/>
          <w:rFonts w:ascii="黑体" w:eastAsia="黑体"/>
          <w:sz w:val="30"/>
        </w:rPr>
        <w:t>第六条</w:t>
      </w:r>
      <w:r>
        <w:rPr>
          <w:rStyle w:val="14"/>
          <w:rFonts w:ascii="仿宋_GB2312" w:eastAsia="仿宋_GB2312"/>
          <w:sz w:val="30"/>
        </w:rPr>
        <w:t xml:space="preserve">  交易客户通过资格审核并交纳保证金后，安徽省粮食和物资储备保障中心（国家粮食安徽交易中心）向其发放交易代码、</w:t>
      </w:r>
      <w:r>
        <w:rPr>
          <w:rStyle w:val="14"/>
          <w:rFonts w:ascii="仿宋_GB2312" w:hAnsi="宋体" w:eastAsia="仿宋_GB2312"/>
          <w:sz w:val="30"/>
          <w:szCs w:val="30"/>
          <w:lang w:val="zh-CN"/>
        </w:rPr>
        <w:t>密码等相关资料</w:t>
      </w:r>
      <w:r>
        <w:rPr>
          <w:rStyle w:val="14"/>
          <w:rFonts w:ascii="仿宋_GB2312" w:eastAsia="仿宋_GB2312"/>
          <w:sz w:val="30"/>
        </w:rPr>
        <w:t>。交易代码、</w:t>
      </w:r>
      <w:r>
        <w:rPr>
          <w:rStyle w:val="14"/>
          <w:rFonts w:ascii="仿宋_GB2312" w:hAnsi="宋体" w:eastAsia="仿宋_GB2312"/>
          <w:sz w:val="30"/>
          <w:szCs w:val="30"/>
          <w:lang w:val="zh-CN"/>
        </w:rPr>
        <w:t>密码等相关资料为交易客户的资格凭证，属交易客户的商业机密，须妥善保管，如丢失或泄露责任自负。</w:t>
      </w:r>
    </w:p>
    <w:p w14:paraId="7B76F107">
      <w:pPr>
        <w:spacing w:line="560" w:lineRule="exact"/>
        <w:ind w:firstLine="600" w:firstLineChars="200"/>
        <w:rPr>
          <w:rStyle w:val="14"/>
          <w:rFonts w:ascii="仿宋_GB2312" w:eastAsia="仿宋_GB2312"/>
          <w:sz w:val="30"/>
        </w:rPr>
      </w:pPr>
      <w:r>
        <w:rPr>
          <w:rStyle w:val="14"/>
          <w:rFonts w:ascii="黑体" w:eastAsia="黑体"/>
          <w:sz w:val="30"/>
        </w:rPr>
        <w:t>第七条</w:t>
      </w:r>
      <w:r>
        <w:rPr>
          <w:rStyle w:val="14"/>
          <w:rFonts w:ascii="仿宋_GB2312" w:eastAsia="仿宋_GB2312"/>
          <w:sz w:val="30"/>
        </w:rPr>
        <w:t xml:space="preserve"> 在中国粮食网（www.cereal.com.cn）、</w:t>
      </w:r>
      <w:r>
        <w:rPr>
          <w:rStyle w:val="14"/>
          <w:rFonts w:hint="eastAsia" w:ascii="仿宋_GB2312" w:eastAsia="仿宋_GB2312"/>
          <w:sz w:val="30"/>
        </w:rPr>
        <w:t>国家粮食交易中心网</w:t>
      </w:r>
      <w:r>
        <w:rPr>
          <w:rStyle w:val="14"/>
          <w:rFonts w:ascii="仿宋_GB2312" w:eastAsia="仿宋_GB2312"/>
          <w:sz w:val="30"/>
        </w:rPr>
        <w:t>（</w:t>
      </w:r>
      <w:r>
        <w:fldChar w:fldCharType="begin"/>
      </w:r>
      <w:r>
        <w:instrText xml:space="preserve"> HYPERLINK "http://www.grainmarket.com.cn" </w:instrText>
      </w:r>
      <w:r>
        <w:fldChar w:fldCharType="separate"/>
      </w:r>
      <w:r>
        <w:rPr>
          <w:rStyle w:val="14"/>
          <w:rFonts w:hint="eastAsia" w:ascii="仿宋_GB2312" w:eastAsia="仿宋_GB2312"/>
          <w:sz w:val="30"/>
        </w:rPr>
        <w:t>www.grainmarket.com.cn</w:t>
      </w:r>
      <w:r>
        <w:rPr>
          <w:rStyle w:val="14"/>
          <w:rFonts w:hint="eastAsia" w:ascii="仿宋_GB2312" w:eastAsia="仿宋_GB2312"/>
          <w:sz w:val="30"/>
        </w:rPr>
        <w:fldChar w:fldCharType="end"/>
      </w:r>
      <w:r>
        <w:rPr>
          <w:rStyle w:val="14"/>
          <w:rFonts w:ascii="仿宋_GB2312" w:eastAsia="仿宋_GB2312"/>
          <w:sz w:val="30"/>
        </w:rPr>
        <w:t>）或交易大厅公告交易的相关信息，交易客户应及时了解。</w:t>
      </w:r>
    </w:p>
    <w:p w14:paraId="4131EACC">
      <w:pPr>
        <w:spacing w:line="800" w:lineRule="exact"/>
        <w:jc w:val="center"/>
        <w:rPr>
          <w:rStyle w:val="14"/>
          <w:rFonts w:ascii="黑体" w:eastAsia="黑体" w:cs="Times New Roman"/>
          <w:bCs/>
          <w:sz w:val="32"/>
        </w:rPr>
      </w:pPr>
      <w:r>
        <w:rPr>
          <w:rStyle w:val="14"/>
          <w:rFonts w:ascii="黑体" w:eastAsia="黑体" w:cs="Times New Roman"/>
          <w:bCs/>
          <w:sz w:val="32"/>
        </w:rPr>
        <w:t>第三章  交易地点、时间</w:t>
      </w:r>
    </w:p>
    <w:p w14:paraId="0D31CE5B">
      <w:pPr>
        <w:pStyle w:val="5"/>
        <w:widowControl/>
        <w:shd w:val="clear" w:color="auto" w:fill="FFFFFF"/>
        <w:spacing w:before="0" w:beforeAutospacing="0" w:after="0" w:afterAutospacing="0"/>
        <w:ind w:firstLine="600" w:firstLineChars="200"/>
        <w:rPr>
          <w:rStyle w:val="14"/>
          <w:rFonts w:ascii="仿宋_GB2312" w:eastAsia="仿宋_GB2312" w:cstheme="minorBidi"/>
          <w:kern w:val="2"/>
          <w:sz w:val="30"/>
          <w:szCs w:val="20"/>
        </w:rPr>
      </w:pPr>
      <w:r>
        <w:rPr>
          <w:rStyle w:val="14"/>
          <w:rFonts w:ascii="黑体" w:eastAsia="黑体"/>
          <w:sz w:val="30"/>
        </w:rPr>
        <w:t>第八条</w:t>
      </w:r>
      <w:r>
        <w:rPr>
          <w:rStyle w:val="14"/>
          <w:rFonts w:ascii="仿宋_GB2312" w:eastAsia="仿宋_GB2312"/>
          <w:sz w:val="30"/>
        </w:rPr>
        <w:t xml:space="preserve"> </w:t>
      </w:r>
      <w:r>
        <w:rPr>
          <w:rStyle w:val="14"/>
          <w:rFonts w:hint="eastAsia" w:ascii="仿宋_GB2312" w:eastAsia="仿宋_GB2312"/>
          <w:sz w:val="30"/>
        </w:rPr>
        <w:t xml:space="preserve"> </w:t>
      </w:r>
      <w:r>
        <w:rPr>
          <w:rStyle w:val="14"/>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DA9E5D8">
      <w:pPr>
        <w:pStyle w:val="5"/>
        <w:widowControl/>
        <w:shd w:val="clear" w:color="auto" w:fill="FFFFFF"/>
        <w:spacing w:before="0" w:beforeAutospacing="0" w:after="0" w:afterAutospacing="0"/>
        <w:ind w:firstLine="600" w:firstLineChars="200"/>
        <w:rPr>
          <w:rStyle w:val="14"/>
          <w:rFonts w:ascii="仿宋_GB2312" w:eastAsia="仿宋_GB2312"/>
          <w:sz w:val="30"/>
        </w:rPr>
      </w:pPr>
      <w:r>
        <w:rPr>
          <w:rStyle w:val="14"/>
          <w:rFonts w:ascii="黑体" w:eastAsia="黑体"/>
          <w:sz w:val="30"/>
        </w:rPr>
        <w:t>第九条</w:t>
      </w:r>
      <w:r>
        <w:rPr>
          <w:rStyle w:val="14"/>
          <w:rFonts w:ascii="仿宋_GB2312" w:eastAsia="仿宋_GB2312"/>
          <w:sz w:val="30"/>
        </w:rPr>
        <w:t xml:space="preserve">  交易时间</w:t>
      </w:r>
      <w:r>
        <w:rPr>
          <w:rStyle w:val="14"/>
          <w:rFonts w:ascii="仿宋_GB2312" w:eastAsia="仿宋_GB2312"/>
          <w:color w:val="000000"/>
          <w:sz w:val="30"/>
        </w:rPr>
        <w:t>在公告交易日进行。</w:t>
      </w:r>
    </w:p>
    <w:p w14:paraId="50C2FF7D">
      <w:pPr>
        <w:spacing w:line="560" w:lineRule="exact"/>
        <w:ind w:firstLine="600" w:firstLineChars="200"/>
        <w:rPr>
          <w:rStyle w:val="14"/>
          <w:rFonts w:ascii="仿宋_GB2312" w:eastAsia="仿宋_GB2312"/>
          <w:sz w:val="30"/>
        </w:rPr>
      </w:pPr>
      <w:r>
        <w:rPr>
          <w:rStyle w:val="14"/>
          <w:rFonts w:ascii="黑体" w:eastAsia="黑体"/>
          <w:sz w:val="30"/>
        </w:rPr>
        <w:t>第十条</w:t>
      </w:r>
      <w:r>
        <w:rPr>
          <w:rStyle w:val="14"/>
          <w:rFonts w:ascii="仿宋_GB2312" w:eastAsia="仿宋_GB2312"/>
          <w:sz w:val="30"/>
        </w:rPr>
        <w:t xml:space="preserve">  安徽省粮食和物资储备保障中心（国家粮食安徽交易中心）将根据交易的规模，允许交易客户派出1－2名交易代表入场交易，交易代表凭交易入场券提前入场，做好交易准备。</w:t>
      </w:r>
    </w:p>
    <w:p w14:paraId="58A8DCE1">
      <w:pPr>
        <w:spacing w:line="560" w:lineRule="exact"/>
        <w:ind w:firstLine="600" w:firstLineChars="200"/>
        <w:rPr>
          <w:rStyle w:val="14"/>
          <w:rFonts w:ascii="仿宋_GB2312" w:eastAsia="仿宋_GB2312"/>
          <w:sz w:val="30"/>
        </w:rPr>
      </w:pPr>
      <w:r>
        <w:rPr>
          <w:rStyle w:val="14"/>
          <w:rFonts w:ascii="黑体" w:eastAsia="黑体"/>
          <w:sz w:val="30"/>
        </w:rPr>
        <w:t>第十一条</w:t>
      </w:r>
      <w:r>
        <w:rPr>
          <w:rStyle w:val="14"/>
          <w:rFonts w:ascii="仿宋_GB2312" w:eastAsia="仿宋_GB2312"/>
          <w:sz w:val="30"/>
        </w:rPr>
        <w:t xml:space="preserve">  交易时间如有变更，安徽省粮食和物资储备保障中心（国家粮食安徽交易中心）将提前公告。</w:t>
      </w:r>
    </w:p>
    <w:p w14:paraId="1AFAE023">
      <w:pPr>
        <w:spacing w:line="800" w:lineRule="exact"/>
        <w:jc w:val="center"/>
        <w:rPr>
          <w:rStyle w:val="14"/>
          <w:rFonts w:ascii="黑体" w:eastAsia="黑体" w:cs="Times New Roman"/>
          <w:bCs/>
          <w:sz w:val="32"/>
        </w:rPr>
      </w:pPr>
      <w:r>
        <w:rPr>
          <w:rStyle w:val="14"/>
          <w:rFonts w:ascii="黑体" w:eastAsia="黑体" w:cs="Times New Roman"/>
          <w:bCs/>
          <w:sz w:val="32"/>
        </w:rPr>
        <w:t>第四章  交易秩序</w:t>
      </w:r>
    </w:p>
    <w:p w14:paraId="40FAA0FC">
      <w:pPr>
        <w:spacing w:line="560" w:lineRule="exact"/>
        <w:ind w:firstLine="600" w:firstLineChars="200"/>
        <w:rPr>
          <w:rStyle w:val="14"/>
          <w:rFonts w:ascii="仿宋_GB2312" w:eastAsia="仿宋_GB2312"/>
          <w:sz w:val="30"/>
        </w:rPr>
      </w:pPr>
      <w:r>
        <w:rPr>
          <w:rStyle w:val="14"/>
          <w:rFonts w:ascii="黑体" w:eastAsia="黑体"/>
          <w:sz w:val="30"/>
        </w:rPr>
        <w:t>第十二条</w:t>
      </w:r>
      <w:r>
        <w:rPr>
          <w:rStyle w:val="14"/>
          <w:rFonts w:ascii="仿宋_GB2312" w:eastAsia="仿宋_GB2312"/>
          <w:sz w:val="30"/>
        </w:rPr>
        <w:t xml:space="preserve">  </w:t>
      </w:r>
      <w:r>
        <w:rPr>
          <w:rStyle w:val="14"/>
          <w:rFonts w:ascii="仿宋_GB2312" w:hAnsi="宋体" w:eastAsia="仿宋_GB2312"/>
          <w:sz w:val="30"/>
          <w:szCs w:val="30"/>
          <w:lang w:val="zh-CN"/>
        </w:rPr>
        <w:t>交易大厅内禁止吸烟、打电话和大声喧哗。进场人员应爱护交易设备、设施，自觉维护场内秩序，服从工作人员指挥。</w:t>
      </w:r>
    </w:p>
    <w:p w14:paraId="5ECFFB82">
      <w:pPr>
        <w:spacing w:line="560" w:lineRule="exact"/>
        <w:ind w:firstLine="600" w:firstLineChars="200"/>
        <w:rPr>
          <w:rStyle w:val="14"/>
          <w:rFonts w:ascii="仿宋_GB2312" w:eastAsia="仿宋_GB2312"/>
          <w:sz w:val="30"/>
        </w:rPr>
      </w:pPr>
      <w:r>
        <w:rPr>
          <w:rStyle w:val="14"/>
          <w:rFonts w:ascii="黑体" w:eastAsia="黑体"/>
          <w:sz w:val="30"/>
        </w:rPr>
        <w:t>第十三条</w:t>
      </w:r>
      <w:r>
        <w:rPr>
          <w:rStyle w:val="14"/>
          <w:rFonts w:ascii="仿宋_GB2312" w:eastAsia="仿宋_GB2312"/>
          <w:sz w:val="30"/>
        </w:rPr>
        <w:t xml:space="preserve">  </w:t>
      </w:r>
      <w:r>
        <w:rPr>
          <w:rStyle w:val="14"/>
          <w:rFonts w:ascii="仿宋_GB2312" w:hAnsi="宋体" w:eastAsia="仿宋_GB2312"/>
          <w:sz w:val="30"/>
          <w:szCs w:val="30"/>
          <w:lang w:val="zh-CN"/>
        </w:rPr>
        <w:t>交易活动必须按照安徽省粮食和物资储备保障中心（国家粮食安徽交易中心）确定的交易方式、交易程序进行。</w:t>
      </w:r>
    </w:p>
    <w:p w14:paraId="6D4BC114">
      <w:pPr>
        <w:spacing w:line="560" w:lineRule="exact"/>
        <w:ind w:firstLine="600" w:firstLineChars="200"/>
        <w:rPr>
          <w:rStyle w:val="14"/>
          <w:rFonts w:ascii="仿宋_GB2312" w:hAnsi="宋体" w:eastAsia="仿宋_GB2312" w:cs="Times New Roman"/>
          <w:sz w:val="30"/>
          <w:szCs w:val="30"/>
          <w:lang w:val="zh-CN"/>
        </w:rPr>
      </w:pPr>
      <w:r>
        <w:rPr>
          <w:rStyle w:val="14"/>
          <w:rFonts w:ascii="黑体" w:eastAsia="黑体" w:cs="Times New Roman"/>
          <w:sz w:val="30"/>
        </w:rPr>
        <w:t>第十</w:t>
      </w:r>
      <w:r>
        <w:rPr>
          <w:rStyle w:val="14"/>
          <w:rFonts w:ascii="黑体" w:eastAsia="黑体" w:cs="Times New Roman"/>
          <w:sz w:val="30"/>
          <w:lang w:val="zh-CN"/>
        </w:rPr>
        <w:t>四条</w:t>
      </w:r>
      <w:r>
        <w:rPr>
          <w:rStyle w:val="14"/>
          <w:rFonts w:ascii="仿宋_GB2312" w:hAnsi="宋体" w:eastAsia="仿宋_GB2312" w:cs="Times New Roman"/>
          <w:sz w:val="30"/>
          <w:szCs w:val="30"/>
          <w:lang w:val="zh-CN"/>
        </w:rPr>
        <w:t xml:space="preserve">  禁止恶意串通交易价格等损害他人利益的一切行为。对严重扰乱交易秩序的人员，安徽省粮食和物资储备保障中心（国家粮食安徽交易中心）有权取消其交易资格并责令其离场。</w:t>
      </w:r>
    </w:p>
    <w:p w14:paraId="58341D11">
      <w:pPr>
        <w:spacing w:line="560" w:lineRule="exact"/>
        <w:ind w:firstLine="602" w:firstLineChars="200"/>
        <w:jc w:val="center"/>
        <w:rPr>
          <w:rStyle w:val="14"/>
          <w:rFonts w:ascii="仿宋_GB2312" w:hAnsi="宋体" w:eastAsia="仿宋_GB2312" w:cs="Times New Roman"/>
          <w:b/>
          <w:bCs/>
          <w:sz w:val="30"/>
          <w:szCs w:val="30"/>
          <w:lang w:val="zh-CN"/>
        </w:rPr>
      </w:pPr>
      <w:r>
        <w:rPr>
          <w:rStyle w:val="14"/>
          <w:rFonts w:ascii="仿宋_GB2312" w:hAnsi="宋体" w:eastAsia="仿宋_GB2312" w:cs="Times New Roman"/>
          <w:b/>
          <w:bCs/>
          <w:sz w:val="30"/>
          <w:szCs w:val="30"/>
          <w:lang w:val="zh-CN"/>
        </w:rPr>
        <w:t>第五章  交易程序</w:t>
      </w:r>
    </w:p>
    <w:p w14:paraId="45B54521">
      <w:pPr>
        <w:spacing w:line="560" w:lineRule="exact"/>
        <w:ind w:firstLine="600" w:firstLineChars="200"/>
        <w:rPr>
          <w:rStyle w:val="14"/>
          <w:rFonts w:ascii="仿宋_GB2312" w:hAnsi="宋体" w:eastAsia="仿宋_GB2312" w:cs="Times New Roman"/>
          <w:sz w:val="30"/>
          <w:szCs w:val="30"/>
          <w:lang w:val="zh-CN" w:eastAsia="zh-CN"/>
        </w:rPr>
      </w:pPr>
      <w:r>
        <w:rPr>
          <w:rStyle w:val="14"/>
          <w:rFonts w:ascii="黑体" w:eastAsia="黑体" w:cs="Times New Roman"/>
          <w:sz w:val="30"/>
          <w:lang w:val="zh-CN" w:eastAsia="zh-CN"/>
        </w:rPr>
        <w:t>第十五条</w:t>
      </w:r>
      <w:r>
        <w:rPr>
          <w:rStyle w:val="14"/>
          <w:rFonts w:ascii="仿宋_GB2312" w:hAnsi="宋体" w:eastAsia="仿宋_GB2312" w:cs="Times New Roman"/>
          <w:sz w:val="30"/>
          <w:szCs w:val="30"/>
          <w:lang w:val="zh-CN" w:eastAsia="zh-CN"/>
        </w:rPr>
        <w:t xml:space="preserve"> </w:t>
      </w:r>
      <w:r>
        <w:rPr>
          <w:rStyle w:val="14"/>
          <w:rFonts w:hint="eastAsia" w:ascii="仿宋_GB2312" w:hAnsi="宋体" w:eastAsia="仿宋_GB2312" w:cs="Times New Roman"/>
          <w:sz w:val="30"/>
          <w:szCs w:val="30"/>
          <w:lang w:val="zh-CN"/>
        </w:rPr>
        <w:t>本次计划采购2025年</w:t>
      </w:r>
      <w:r>
        <w:rPr>
          <w:rStyle w:val="14"/>
          <w:rFonts w:hint="eastAsia" w:ascii="仿宋_GB2312" w:hAnsi="宋体" w:eastAsia="仿宋_GB2312" w:cs="Times New Roman"/>
          <w:sz w:val="30"/>
          <w:szCs w:val="30"/>
          <w:lang w:val="en-US" w:eastAsia="zh-CN"/>
        </w:rPr>
        <w:t>国</w:t>
      </w:r>
      <w:r>
        <w:rPr>
          <w:rStyle w:val="14"/>
          <w:rFonts w:hint="eastAsia" w:ascii="仿宋_GB2312" w:hAnsi="宋体" w:eastAsia="仿宋_GB2312" w:cs="Times New Roman"/>
          <w:sz w:val="30"/>
          <w:szCs w:val="30"/>
          <w:lang w:val="zh-CN"/>
        </w:rPr>
        <w:t>产</w:t>
      </w:r>
      <w:r>
        <w:rPr>
          <w:rStyle w:val="14"/>
          <w:rFonts w:hint="eastAsia" w:ascii="仿宋_GB2312" w:hAnsi="宋体" w:eastAsia="仿宋_GB2312" w:cs="Times New Roman"/>
          <w:sz w:val="30"/>
          <w:szCs w:val="30"/>
          <w:lang w:val="en-US" w:eastAsia="zh-CN"/>
        </w:rPr>
        <w:t>长粒型中晚籼稻。</w:t>
      </w:r>
    </w:p>
    <w:p w14:paraId="07501260">
      <w:pPr>
        <w:spacing w:line="560" w:lineRule="exact"/>
        <w:ind w:firstLine="600" w:firstLineChars="200"/>
        <w:rPr>
          <w:rStyle w:val="14"/>
          <w:rFonts w:hint="default" w:ascii="仿宋_GB2312" w:hAnsi="宋体" w:eastAsia="仿宋_GB2312" w:cs="Times New Roman"/>
          <w:sz w:val="30"/>
          <w:szCs w:val="30"/>
          <w:lang w:val="en-US" w:eastAsia="zh-CN"/>
        </w:rPr>
      </w:pPr>
      <w:r>
        <w:rPr>
          <w:rStyle w:val="14"/>
          <w:rFonts w:hint="eastAsia" w:ascii="仿宋_GB2312" w:hAnsi="宋体" w:eastAsia="仿宋_GB2312" w:cs="Times New Roman"/>
          <w:sz w:val="30"/>
          <w:szCs w:val="30"/>
          <w:lang w:val="zh-CN" w:eastAsia="zh-CN"/>
        </w:rPr>
        <w:t>粮食竞价交易价格为</w:t>
      </w:r>
      <w:r>
        <w:rPr>
          <w:rStyle w:val="14"/>
          <w:rFonts w:hint="eastAsia" w:ascii="仿宋_GB2312" w:hAnsi="宋体" w:eastAsia="仿宋_GB2312" w:cs="Times New Roman"/>
          <w:sz w:val="30"/>
          <w:szCs w:val="30"/>
          <w:lang w:val="en-US" w:eastAsia="zh-CN"/>
        </w:rPr>
        <w:t>买</w:t>
      </w:r>
      <w:r>
        <w:rPr>
          <w:rStyle w:val="14"/>
          <w:rFonts w:hint="eastAsia" w:ascii="仿宋_GB2312" w:hAnsi="宋体" w:eastAsia="仿宋_GB2312" w:cs="Times New Roman"/>
          <w:sz w:val="30"/>
          <w:szCs w:val="30"/>
          <w:lang w:val="zh-CN" w:eastAsia="zh-CN"/>
        </w:rPr>
        <w:t>方</w:t>
      </w:r>
      <w:r>
        <w:rPr>
          <w:rStyle w:val="14"/>
          <w:rFonts w:hint="eastAsia" w:ascii="仿宋_GB2312" w:hAnsi="宋体" w:eastAsia="仿宋_GB2312" w:cs="Times New Roman"/>
          <w:sz w:val="30"/>
          <w:szCs w:val="30"/>
          <w:lang w:val="en-US" w:eastAsia="zh-CN"/>
        </w:rPr>
        <w:t>仓口</w:t>
      </w:r>
      <w:r>
        <w:rPr>
          <w:rStyle w:val="14"/>
          <w:rFonts w:hint="eastAsia" w:ascii="仿宋_GB2312" w:hAnsi="宋体" w:eastAsia="仿宋_GB2312" w:cs="Times New Roman"/>
          <w:sz w:val="30"/>
          <w:szCs w:val="30"/>
          <w:lang w:val="zh-CN" w:eastAsia="zh-CN"/>
        </w:rPr>
        <w:t>交货价，</w:t>
      </w:r>
      <w:r>
        <w:rPr>
          <w:rStyle w:val="14"/>
          <w:rFonts w:hint="eastAsia" w:ascii="仿宋_GB2312" w:hAnsi="宋体" w:eastAsia="仿宋_GB2312" w:cs="Times New Roman"/>
          <w:sz w:val="30"/>
          <w:szCs w:val="30"/>
          <w:lang w:val="en-US" w:eastAsia="zh-CN"/>
        </w:rPr>
        <w:t>仓口汽车板散装交货。</w:t>
      </w:r>
    </w:p>
    <w:p w14:paraId="495BED90">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cs="Times New Roman"/>
          <w:sz w:val="30"/>
          <w:lang w:val="zh-CN" w:eastAsia="zh-CN"/>
        </w:rPr>
        <w:t>第十六条</w:t>
      </w:r>
      <w:r>
        <w:rPr>
          <w:rStyle w:val="14"/>
          <w:rFonts w:ascii="仿宋_GB2312" w:hAnsi="宋体" w:eastAsia="仿宋_GB2312" w:cs="Times New Roman"/>
          <w:sz w:val="30"/>
          <w:szCs w:val="30"/>
          <w:lang w:val="zh-CN" w:eastAsia="zh-CN"/>
        </w:rPr>
        <w:t xml:space="preserve">  本次</w:t>
      </w:r>
      <w:r>
        <w:rPr>
          <w:rStyle w:val="14"/>
          <w:rFonts w:hint="eastAsia" w:ascii="仿宋_GB2312" w:hAnsi="宋体" w:eastAsia="仿宋_GB2312" w:cs="Times New Roman"/>
          <w:sz w:val="30"/>
          <w:szCs w:val="30"/>
          <w:lang w:val="zh-CN" w:eastAsia="zh-CN"/>
        </w:rPr>
        <w:t>采购</w:t>
      </w:r>
      <w:r>
        <w:rPr>
          <w:rStyle w:val="14"/>
          <w:rFonts w:ascii="仿宋_GB2312" w:hAnsi="宋体" w:eastAsia="仿宋_GB2312" w:cs="Times New Roman"/>
          <w:sz w:val="30"/>
          <w:szCs w:val="30"/>
          <w:lang w:val="zh-CN" w:eastAsia="zh-CN"/>
        </w:rPr>
        <w:t>采用现场计算机电子竞价的方式进行。竞价招标按委托标的序号</w:t>
      </w:r>
      <w:r>
        <w:rPr>
          <w:rStyle w:val="14"/>
          <w:rFonts w:ascii="仿宋_GB2312" w:hAnsi="宋体" w:eastAsia="仿宋_GB2312" w:cs="Times New Roman"/>
          <w:sz w:val="30"/>
          <w:szCs w:val="30"/>
          <w:lang w:val="zh-CN"/>
        </w:rPr>
        <w:t>顺序，依次按交易节进行。</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仿宋_GB2312" w:hAnsi="宋体" w:eastAsia="仿宋_GB2312" w:cs="Times New Roman"/>
          <w:sz w:val="30"/>
          <w:szCs w:val="30"/>
          <w:lang w:val="zh-CN"/>
        </w:rPr>
        <w:t xml:space="preserve"> </w:t>
      </w:r>
      <w:r>
        <w:rPr>
          <w:rStyle w:val="14"/>
          <w:rFonts w:ascii="黑体" w:eastAsia="黑体" w:cs="Times New Roman"/>
          <w:sz w:val="30"/>
          <w:lang w:val="zh-CN" w:eastAsia="zh-CN"/>
        </w:rPr>
        <w:t xml:space="preserve">第十七条  </w:t>
      </w:r>
      <w:r>
        <w:rPr>
          <w:rStyle w:val="14"/>
          <w:rFonts w:ascii="仿宋_GB2312" w:hAnsi="宋体" w:eastAsia="仿宋_GB2312" w:cs="Times New Roman"/>
          <w:sz w:val="30"/>
          <w:szCs w:val="30"/>
          <w:lang w:val="zh-CN"/>
        </w:rPr>
        <w:t>开市后，投标人利用计算机按交易节逐节进行交易。每笔交易从起价开始报价，并按每吨</w:t>
      </w:r>
      <w:r>
        <w:rPr>
          <w:rStyle w:val="14"/>
          <w:rFonts w:hint="eastAsia" w:ascii="仿宋_GB2312" w:hAnsi="宋体" w:eastAsia="仿宋_GB2312" w:cs="Times New Roman"/>
          <w:sz w:val="30"/>
          <w:szCs w:val="30"/>
          <w:lang w:val="en-US" w:eastAsia="zh-CN"/>
        </w:rPr>
        <w:t>5</w:t>
      </w:r>
      <w:r>
        <w:rPr>
          <w:rStyle w:val="14"/>
          <w:rFonts w:ascii="仿宋_GB2312" w:hAnsi="宋体" w:eastAsia="仿宋_GB2312" w:cs="Times New Roman"/>
          <w:sz w:val="30"/>
          <w:szCs w:val="30"/>
          <w:lang w:val="zh-CN"/>
        </w:rPr>
        <w:t>元的价位递减报价。</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 xml:space="preserve">第十八条 </w:t>
      </w:r>
      <w:r>
        <w:rPr>
          <w:rStyle w:val="14"/>
          <w:rFonts w:ascii="仿宋_GB2312" w:hAnsi="宋体" w:eastAsia="仿宋_GB2312" w:cs="Times New Roman"/>
          <w:sz w:val="30"/>
          <w:szCs w:val="30"/>
          <w:lang w:val="zh-CN"/>
        </w:rPr>
        <w:t xml:space="preserve"> 在起价上无人应价时，即撤销该笔交易。</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第十九条</w:t>
      </w:r>
      <w:r>
        <w:rPr>
          <w:rStyle w:val="14"/>
          <w:rFonts w:ascii="仿宋_GB2312" w:hAnsi="宋体" w:eastAsia="仿宋_GB2312" w:cs="Times New Roman"/>
          <w:sz w:val="30"/>
          <w:szCs w:val="30"/>
          <w:lang w:val="zh-CN"/>
        </w:rPr>
        <w:t xml:space="preserve">  投标人应点击计算机报价，竞价数量已超过预交保证金所能投标数量的不可</w:t>
      </w:r>
      <w:r>
        <w:rPr>
          <w:rStyle w:val="14"/>
          <w:rFonts w:ascii="仿宋_GB2312" w:eastAsia="仿宋_GB2312"/>
          <w:sz w:val="30"/>
        </w:rPr>
        <w:t>再参加竞价。</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hint="eastAsia" w:ascii="仿宋_GB2312" w:eastAsia="仿宋_GB2312"/>
          <w:sz w:val="30"/>
          <w:lang w:val="en-US" w:eastAsia="zh-CN"/>
        </w:rPr>
        <w:t xml:space="preserve"> </w:t>
      </w:r>
      <w:r>
        <w:rPr>
          <w:rStyle w:val="14"/>
          <w:rFonts w:ascii="黑体" w:eastAsia="黑体"/>
          <w:sz w:val="30"/>
        </w:rPr>
        <w:t xml:space="preserve">第二十条  </w:t>
      </w:r>
      <w:r>
        <w:rPr>
          <w:rStyle w:val="14"/>
          <w:rFonts w:ascii="仿宋_GB2312" w:eastAsia="仿宋_GB2312"/>
          <w:sz w:val="30"/>
        </w:rPr>
        <w:t>投标人一经应价，不得撤回。</w:t>
      </w:r>
      <w:r>
        <w:rPr>
          <w:rStyle w:val="14"/>
          <w:rFonts w:ascii="仿宋_GB2312" w:eastAsia="仿宋_GB2312"/>
          <w:sz w:val="30"/>
        </w:rPr>
        <w:br w:type="textWrapping"/>
      </w:r>
      <w:r>
        <w:rPr>
          <w:rStyle w:val="14"/>
          <w:rFonts w:hint="eastAsia" w:ascii="黑体" w:eastAsia="黑体"/>
          <w:sz w:val="30"/>
        </w:rPr>
        <w:t xml:space="preserve"> </w:t>
      </w:r>
      <w:r>
        <w:rPr>
          <w:rStyle w:val="14"/>
          <w:rFonts w:ascii="黑体" w:eastAsia="黑体"/>
          <w:sz w:val="30"/>
        </w:rPr>
        <w:t xml:space="preserve">  </w:t>
      </w:r>
      <w:r>
        <w:rPr>
          <w:rStyle w:val="14"/>
          <w:rFonts w:hint="eastAsia" w:ascii="黑体" w:eastAsia="黑体"/>
          <w:sz w:val="30"/>
          <w:lang w:val="en-US" w:eastAsia="zh-CN"/>
        </w:rPr>
        <w:t xml:space="preserve"> </w:t>
      </w:r>
      <w:r>
        <w:rPr>
          <w:rStyle w:val="14"/>
          <w:rFonts w:ascii="黑体" w:eastAsia="黑体"/>
          <w:sz w:val="30"/>
        </w:rPr>
        <w:t>第二十一条</w:t>
      </w:r>
      <w:r>
        <w:rPr>
          <w:rStyle w:val="14"/>
          <w:rFonts w:ascii="仿宋_GB2312" w:hAnsi="宋体"/>
          <w:spacing w:val="6"/>
          <w:sz w:val="30"/>
          <w:szCs w:val="30"/>
          <w:lang w:val="zh-CN"/>
        </w:rPr>
        <w:t xml:space="preserve">  </w:t>
      </w:r>
      <w:r>
        <w:rPr>
          <w:rStyle w:val="14"/>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第二十二条</w:t>
      </w:r>
      <w:r>
        <w:rPr>
          <w:rStyle w:val="14"/>
          <w:rFonts w:ascii="仿宋_GB2312" w:eastAsia="仿宋_GB2312"/>
          <w:sz w:val="30"/>
        </w:rPr>
        <w:t xml:space="preserve">  </w:t>
      </w:r>
      <w:r>
        <w:rPr>
          <w:rStyle w:val="14"/>
          <w:rFonts w:ascii="仿宋_GB2312" w:hAnsi="宋体" w:eastAsia="仿宋_GB2312"/>
          <w:spacing w:val="6"/>
          <w:sz w:val="30"/>
          <w:szCs w:val="30"/>
          <w:lang w:val="zh-CN"/>
        </w:rPr>
        <w:t>合同自确定成交之</w:t>
      </w:r>
      <w:r>
        <w:rPr>
          <w:rStyle w:val="14"/>
          <w:rFonts w:ascii="仿宋_GB2312" w:hAnsi="宋体" w:eastAsia="仿宋_GB2312"/>
          <w:sz w:val="30"/>
          <w:szCs w:val="30"/>
          <w:lang w:val="zh-CN"/>
        </w:rPr>
        <w:t>时</w:t>
      </w:r>
      <w:r>
        <w:rPr>
          <w:rStyle w:val="14"/>
          <w:rFonts w:ascii="仿宋_GB2312" w:hAnsi="宋体" w:eastAsia="仿宋_GB2312"/>
          <w:spacing w:val="6"/>
          <w:sz w:val="30"/>
          <w:szCs w:val="30"/>
          <w:lang w:val="zh-CN"/>
        </w:rPr>
        <w:t>起生效。</w:t>
      </w:r>
      <w:r>
        <w:rPr>
          <w:rStyle w:val="14"/>
          <w:rFonts w:ascii="仿宋_GB2312" w:hAnsi="宋体" w:eastAsia="仿宋_GB2312"/>
          <w:sz w:val="30"/>
          <w:szCs w:val="30"/>
          <w:lang w:val="zh-CN"/>
        </w:rPr>
        <w:t>交易结束后，</w:t>
      </w:r>
      <w:r>
        <w:rPr>
          <w:rStyle w:val="14"/>
          <w:rFonts w:ascii="仿宋_GB2312" w:eastAsia="仿宋_GB2312"/>
          <w:sz w:val="30"/>
        </w:rPr>
        <w:t>交易成交双方签订安徽省粮食和物资储备保障中心（国家粮食安徽交易中心）制订的买卖合同。</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仿宋_GB2312" w:hAnsi="宋体" w:eastAsia="仿宋_GB2312"/>
          <w:spacing w:val="6"/>
          <w:sz w:val="30"/>
          <w:szCs w:val="30"/>
          <w:lang w:val="zh-CN"/>
        </w:rPr>
        <w:t>如果买卖一方因为特殊情况无法按时签订合同的,视同认可合同条款,不影响合同的履行</w:t>
      </w:r>
      <w:r>
        <w:rPr>
          <w:rStyle w:val="14"/>
          <w:rFonts w:ascii="仿宋_GB2312" w:eastAsia="仿宋_GB2312"/>
          <w:sz w:val="30"/>
        </w:rPr>
        <w:t>，并严格按照合同条款执行。</w:t>
      </w:r>
    </w:p>
    <w:p w14:paraId="1CA75292">
      <w:pPr>
        <w:spacing w:line="800" w:lineRule="exact"/>
        <w:jc w:val="center"/>
        <w:rPr>
          <w:rStyle w:val="14"/>
          <w:rFonts w:ascii="黑体" w:eastAsia="黑体" w:cs="Times New Roman"/>
          <w:bCs/>
          <w:sz w:val="32"/>
        </w:rPr>
      </w:pPr>
      <w:r>
        <w:rPr>
          <w:rStyle w:val="14"/>
          <w:rFonts w:ascii="黑体" w:eastAsia="黑体" w:cs="Times New Roman"/>
          <w:bCs/>
          <w:sz w:val="32"/>
        </w:rPr>
        <w:t>第六章  交割和结算</w:t>
      </w:r>
    </w:p>
    <w:p w14:paraId="53C60A5B">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rPr>
      </w:pPr>
      <w:r>
        <w:rPr>
          <w:rStyle w:val="14"/>
          <w:rFonts w:ascii="黑体" w:eastAsia="黑体"/>
          <w:sz w:val="30"/>
        </w:rPr>
        <w:t>第二十三条</w:t>
      </w:r>
      <w:r>
        <w:rPr>
          <w:rStyle w:val="14"/>
          <w:rFonts w:ascii="仿宋_GB2312" w:eastAsia="仿宋_GB2312"/>
          <w:sz w:val="30"/>
        </w:rPr>
        <w:t xml:space="preserve"> </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zh-CN"/>
        </w:rPr>
        <w:t>买卖双方应严格履行合同规定的责任义务，并享受合同规定的权利。</w:t>
      </w:r>
    </w:p>
    <w:p w14:paraId="6D33A2BB">
      <w:pPr>
        <w:pStyle w:val="5"/>
        <w:shd w:val="clear" w:color="auto" w:fill="FFFFFF"/>
        <w:spacing w:before="0" w:beforeAutospacing="0" w:after="0" w:afterAutospacing="0"/>
        <w:ind w:firstLine="600" w:firstLineChars="200"/>
        <w:rPr>
          <w:rFonts w:hint="eastAsia" w:ascii="仿宋_GB2312" w:eastAsia="仿宋_GB2312"/>
          <w:sz w:val="30"/>
        </w:rPr>
      </w:pPr>
      <w:r>
        <w:rPr>
          <w:rStyle w:val="14"/>
          <w:rFonts w:hint="eastAsia" w:ascii="黑体" w:eastAsia="黑体"/>
          <w:sz w:val="30"/>
        </w:rPr>
        <w:t>第二十四条</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en-US" w:eastAsia="zh-CN"/>
        </w:rPr>
        <w:t xml:space="preserve"> </w:t>
      </w:r>
      <w:r>
        <w:rPr>
          <w:rFonts w:hint="eastAsia" w:ascii="仿宋_GB2312" w:eastAsia="仿宋_GB2312"/>
          <w:sz w:val="30"/>
        </w:rPr>
        <w:t>本次交易履约期详见交易公告。</w:t>
      </w:r>
    </w:p>
    <w:p w14:paraId="4243BAD1">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lang w:val="zh-CN"/>
        </w:rPr>
      </w:pPr>
      <w:r>
        <w:rPr>
          <w:rStyle w:val="14"/>
          <w:rFonts w:hint="eastAsia" w:ascii="黑体" w:eastAsia="黑体"/>
          <w:sz w:val="30"/>
        </w:rPr>
        <w:t xml:space="preserve">第二十五条 </w:t>
      </w:r>
      <w:r>
        <w:rPr>
          <w:rStyle w:val="14"/>
          <w:rFonts w:hint="eastAsia" w:ascii="仿宋_GB2312" w:hAnsi="宋体" w:eastAsia="仿宋_GB2312"/>
          <w:sz w:val="30"/>
          <w:szCs w:val="30"/>
        </w:rPr>
        <w:t xml:space="preserve"> 卖方应提前与承储库点协商入库事宜。卖方应均衡发货，日到货量应小于买方日入库能力，由于没有按预约要求执行，造成货物滞留的损失由卖方负责。承储库点应与卖方积极配合，共同完成交割工作。</w:t>
      </w:r>
    </w:p>
    <w:p w14:paraId="30031F51">
      <w:pPr>
        <w:pStyle w:val="5"/>
        <w:shd w:val="clear" w:color="auto" w:fill="FFFFFF"/>
        <w:spacing w:before="0" w:beforeAutospacing="0" w:after="0" w:afterAutospacing="0"/>
        <w:ind w:firstLine="600" w:firstLineChars="200"/>
        <w:rPr>
          <w:rStyle w:val="14"/>
          <w:rFonts w:ascii="仿宋_GB2312" w:hAnsi="宋体" w:eastAsia="仿宋_GB2312" w:cs="Times New Roman"/>
          <w:sz w:val="30"/>
          <w:szCs w:val="30"/>
        </w:rPr>
      </w:pPr>
      <w:r>
        <w:rPr>
          <w:rStyle w:val="14"/>
          <w:rFonts w:hint="eastAsia" w:ascii="黑体" w:eastAsia="黑体"/>
          <w:sz w:val="30"/>
        </w:rPr>
        <w:t>第二十六条</w:t>
      </w:r>
      <w:r>
        <w:rPr>
          <w:rStyle w:val="14"/>
          <w:rFonts w:hint="eastAsia" w:ascii="仿宋_GB2312" w:hAnsi="宋体" w:eastAsia="仿宋_GB2312"/>
          <w:sz w:val="30"/>
          <w:szCs w:val="30"/>
        </w:rPr>
        <w:t xml:space="preserve">  粮食到库后，双方共同进行检斤验质。质量依据第十五条规定执行；数量以买</w:t>
      </w:r>
      <w:r>
        <w:rPr>
          <w:rStyle w:val="14"/>
          <w:rFonts w:ascii="仿宋_GB2312" w:hAnsi="宋体" w:eastAsia="仿宋_GB2312"/>
          <w:sz w:val="30"/>
          <w:szCs w:val="30"/>
        </w:rPr>
        <w:t>方承储库点计量衡器为准，</w:t>
      </w:r>
      <w:r>
        <w:rPr>
          <w:rStyle w:val="14"/>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4"/>
          <w:rFonts w:ascii="仿宋_GB2312" w:hAnsi="宋体" w:eastAsia="仿宋_GB2312"/>
          <w:sz w:val="30"/>
          <w:szCs w:val="30"/>
        </w:rPr>
        <w:t>行</w:t>
      </w:r>
      <w:r>
        <w:rPr>
          <w:rStyle w:val="14"/>
          <w:rFonts w:ascii="仿宋_GB2312" w:hAnsi="宋体" w:eastAsia="仿宋_GB2312" w:cs="Times New Roman"/>
          <w:sz w:val="30"/>
          <w:szCs w:val="30"/>
        </w:rPr>
        <w:t>负责处理以及承担相应后果。</w:t>
      </w:r>
    </w:p>
    <w:p w14:paraId="4AB87BEE">
      <w:pPr>
        <w:spacing w:line="560" w:lineRule="exact"/>
        <w:ind w:firstLine="600" w:firstLineChars="200"/>
        <w:rPr>
          <w:rStyle w:val="14"/>
          <w:rFonts w:ascii="仿宋_GB2312" w:hAnsi="宋体" w:eastAsia="仿宋_GB2312" w:cs="Times New Roman"/>
          <w:sz w:val="30"/>
          <w:szCs w:val="30"/>
        </w:rPr>
      </w:pPr>
      <w:r>
        <w:rPr>
          <w:rStyle w:val="14"/>
          <w:rFonts w:ascii="仿宋_GB2312" w:hAnsi="宋体" w:eastAsia="仿宋_GB2312" w:cs="Times New Roman"/>
          <w:sz w:val="30"/>
          <w:szCs w:val="30"/>
        </w:rPr>
        <w:t>水分、杂质等指标超过或低于国家标准的，按照国家发展改革委、国家粮食局、财政部、国家质检总局联合印发的《关于印发〈关于执行粮油质量国家标准有关问题的规定〉的通知》（国粮发〔20</w:t>
      </w:r>
      <w:r>
        <w:rPr>
          <w:rStyle w:val="14"/>
          <w:rFonts w:hint="eastAsia" w:ascii="仿宋_GB2312" w:hAnsi="宋体" w:eastAsia="仿宋_GB2312" w:cs="Times New Roman"/>
          <w:sz w:val="30"/>
          <w:szCs w:val="30"/>
          <w:lang w:val="en-US" w:eastAsia="zh-CN"/>
        </w:rPr>
        <w:t>24</w:t>
      </w:r>
      <w:r>
        <w:rPr>
          <w:rStyle w:val="14"/>
          <w:rFonts w:ascii="仿宋_GB2312" w:hAnsi="宋体" w:eastAsia="仿宋_GB2312" w:cs="Times New Roman"/>
          <w:sz w:val="30"/>
          <w:szCs w:val="30"/>
        </w:rPr>
        <w:t>〕1</w:t>
      </w:r>
      <w:r>
        <w:rPr>
          <w:rStyle w:val="14"/>
          <w:rFonts w:hint="eastAsia" w:ascii="仿宋_GB2312" w:hAnsi="宋体" w:eastAsia="仿宋_GB2312" w:cs="Times New Roman"/>
          <w:sz w:val="30"/>
          <w:szCs w:val="30"/>
          <w:lang w:val="en-US" w:eastAsia="zh-CN"/>
        </w:rPr>
        <w:t>9</w:t>
      </w:r>
      <w:r>
        <w:rPr>
          <w:rStyle w:val="14"/>
          <w:rFonts w:ascii="仿宋_GB2312" w:hAnsi="宋体" w:eastAsia="仿宋_GB2312" w:cs="Times New Roman"/>
          <w:sz w:val="30"/>
          <w:szCs w:val="30"/>
        </w:rPr>
        <w:t>8号）有关规定进行增扣量。</w:t>
      </w:r>
    </w:p>
    <w:p w14:paraId="4C18ACBF">
      <w:pPr>
        <w:spacing w:line="560" w:lineRule="exact"/>
        <w:ind w:firstLine="600" w:firstLineChars="200"/>
        <w:rPr>
          <w:rStyle w:val="14"/>
          <w:rFonts w:ascii="仿宋_GB2312" w:hAnsi="宋体" w:eastAsia="仿宋_GB2312"/>
          <w:sz w:val="30"/>
          <w:szCs w:val="30"/>
        </w:rPr>
      </w:pPr>
      <w:r>
        <w:rPr>
          <w:rStyle w:val="14"/>
          <w:rFonts w:ascii="黑体" w:eastAsia="黑体"/>
          <w:sz w:val="30"/>
          <w:szCs w:val="30"/>
        </w:rPr>
        <w:t>第二十七条</w:t>
      </w:r>
      <w:r>
        <w:rPr>
          <w:rStyle w:val="14"/>
          <w:rFonts w:ascii="仿宋_GB2312" w:eastAsia="仿宋_GB2312"/>
          <w:sz w:val="30"/>
          <w:szCs w:val="30"/>
        </w:rPr>
        <w:t xml:space="preserve">  </w:t>
      </w:r>
      <w:r>
        <w:rPr>
          <w:rStyle w:val="14"/>
          <w:rFonts w:hint="eastAsia" w:ascii="仿宋_GB2312" w:eastAsia="仿宋_GB2312"/>
          <w:sz w:val="30"/>
          <w:szCs w:val="30"/>
        </w:rPr>
        <w:t>卖方</w:t>
      </w:r>
      <w:r>
        <w:rPr>
          <w:rStyle w:val="14"/>
          <w:rFonts w:ascii="仿宋_GB2312" w:hAnsi="宋体" w:eastAsia="仿宋_GB2312"/>
          <w:sz w:val="30"/>
          <w:szCs w:val="30"/>
        </w:rPr>
        <w:t>根据国家有关政策规定开具正式等额的销售发票给买方后，双方签署统一格式的</w:t>
      </w:r>
      <w:r>
        <w:rPr>
          <w:rFonts w:hint="eastAsia" w:ascii="仿宋_GB2312" w:eastAsia="仿宋_GB2312" w:cs="Times New Roman"/>
          <w:sz w:val="30"/>
        </w:rPr>
        <w:t>《验收确认单》</w:t>
      </w:r>
      <w:r>
        <w:rPr>
          <w:rStyle w:val="14"/>
          <w:rFonts w:ascii="仿宋_GB2312" w:hAnsi="宋体" w:eastAsia="仿宋_GB2312"/>
          <w:sz w:val="30"/>
          <w:szCs w:val="30"/>
        </w:rPr>
        <w:t>一式三份，双方各持一份，另一份交安徽省粮食和物资储备保障中心（国家粮食安徽交易中心），该批货物交割完毕。</w:t>
      </w:r>
    </w:p>
    <w:p w14:paraId="57B9E743">
      <w:pPr>
        <w:spacing w:line="560" w:lineRule="exact"/>
        <w:ind w:firstLine="600" w:firstLineChars="200"/>
        <w:rPr>
          <w:rStyle w:val="14"/>
          <w:rFonts w:ascii="仿宋_GB2312" w:hAnsi="宋体" w:eastAsia="仿宋_GB2312" w:cs="Times New Roman"/>
          <w:sz w:val="30"/>
          <w:szCs w:val="30"/>
          <w:lang w:val="zh-CN"/>
        </w:rPr>
      </w:pPr>
      <w:r>
        <w:rPr>
          <w:rStyle w:val="14"/>
          <w:rFonts w:ascii="黑体" w:eastAsia="黑体" w:cs="Times New Roman"/>
          <w:sz w:val="30"/>
          <w:szCs w:val="30"/>
        </w:rPr>
        <w:t xml:space="preserve">第二十八条 </w:t>
      </w:r>
      <w:r>
        <w:rPr>
          <w:rStyle w:val="14"/>
          <w:rFonts w:ascii="仿宋_GB2312" w:hAnsi="宋体" w:eastAsia="仿宋_GB2312" w:cs="Times New Roman"/>
          <w:sz w:val="30"/>
          <w:szCs w:val="30"/>
        </w:rPr>
        <w:t xml:space="preserve"> </w:t>
      </w:r>
      <w:r>
        <w:rPr>
          <w:rStyle w:val="14"/>
          <w:rFonts w:hint="eastAsia" w:ascii="仿宋_GB2312" w:hAnsi="宋体" w:eastAsia="仿宋_GB2312" w:cs="Times New Roman"/>
          <w:sz w:val="30"/>
          <w:szCs w:val="30"/>
          <w:lang w:val="zh-CN"/>
        </w:rPr>
        <w:t>买</w:t>
      </w:r>
      <w:r>
        <w:rPr>
          <w:rStyle w:val="14"/>
          <w:rFonts w:ascii="仿宋_GB2312" w:hAnsi="宋体" w:eastAsia="仿宋_GB2312" w:cs="Times New Roman"/>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177B67E8">
      <w:pPr>
        <w:spacing w:line="560" w:lineRule="exact"/>
        <w:ind w:firstLine="600" w:firstLineChars="200"/>
        <w:rPr>
          <w:rStyle w:val="14"/>
          <w:rFonts w:hint="eastAsia" w:ascii="仿宋_GB2312" w:hAnsi="宋体" w:eastAsia="仿宋_GB2312" w:cs="Times New Roman"/>
          <w:sz w:val="30"/>
          <w:szCs w:val="30"/>
          <w:lang w:val="zh-CN" w:eastAsia="zh-CN"/>
        </w:rPr>
      </w:pPr>
      <w:r>
        <w:rPr>
          <w:rStyle w:val="14"/>
          <w:rFonts w:hint="eastAsia" w:ascii="黑体" w:eastAsia="黑体" w:cs="Times New Roman"/>
          <w:sz w:val="30"/>
          <w:szCs w:val="30"/>
        </w:rPr>
        <w:t>第二十九条</w:t>
      </w:r>
      <w:r>
        <w:rPr>
          <w:rStyle w:val="14"/>
          <w:rFonts w:hint="eastAsia"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zh-CN" w:eastAsia="zh-CN"/>
        </w:rPr>
        <w:t>本次交易双方自行结算，采购入库的粮食按2580元/吨开收购码单并按批结算，差价部分待合同履行完毕后一次性结算，中标方须提供发票。</w:t>
      </w:r>
    </w:p>
    <w:p w14:paraId="5067ECE6">
      <w:pPr>
        <w:widowControl w:val="0"/>
        <w:spacing w:line="560" w:lineRule="exact"/>
        <w:ind w:firstLine="600" w:firstLineChars="200"/>
        <w:textAlignment w:val="auto"/>
        <w:rPr>
          <w:rStyle w:val="14"/>
          <w:rFonts w:ascii="仿宋_GB2312" w:hAnsi="宋体" w:eastAsia="仿宋_GB2312" w:cs="Times New Roman"/>
          <w:sz w:val="30"/>
          <w:szCs w:val="30"/>
          <w:lang w:val="zh-CN"/>
        </w:rPr>
      </w:pPr>
      <w:r>
        <w:rPr>
          <w:rStyle w:val="14"/>
          <w:rFonts w:ascii="黑体" w:eastAsia="黑体"/>
          <w:sz w:val="30"/>
          <w:szCs w:val="30"/>
        </w:rPr>
        <w:t xml:space="preserve">第三十条 </w:t>
      </w:r>
      <w:r>
        <w:rPr>
          <w:rStyle w:val="14"/>
          <w:rFonts w:ascii="仿宋_GB2312" w:hAnsi="宋体" w:eastAsia="仿宋_GB2312"/>
          <w:sz w:val="30"/>
          <w:szCs w:val="30"/>
          <w:lang w:val="zh-CN"/>
        </w:rPr>
        <w:t>安徽省粮食和物资储备保障中心（国家粮食安徽交易中心）按合同成交金额的0.8‰向卖方收取交易手续费，交易手续费从保证金中扣除。</w:t>
      </w:r>
    </w:p>
    <w:p w14:paraId="55F2A97F">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w:t>
      </w:r>
      <w:r>
        <w:rPr>
          <w:rStyle w:val="14"/>
          <w:rFonts w:hint="eastAsia" w:ascii="黑体" w:eastAsia="黑体"/>
          <w:sz w:val="30"/>
          <w:szCs w:val="30"/>
          <w:lang w:val="en-US" w:eastAsia="zh-CN"/>
        </w:rPr>
        <w:t>一</w:t>
      </w:r>
      <w:r>
        <w:rPr>
          <w:rStyle w:val="14"/>
          <w:rFonts w:ascii="黑体" w:eastAsia="黑体"/>
          <w:sz w:val="30"/>
          <w:szCs w:val="30"/>
        </w:rPr>
        <w:t>条</w:t>
      </w:r>
      <w:r>
        <w:rPr>
          <w:rStyle w:val="14"/>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4"/>
          <w:rFonts w:ascii="仿宋_GB2312" w:hAnsi="宋体" w:eastAsia="仿宋_GB2312"/>
          <w:sz w:val="30"/>
          <w:szCs w:val="30"/>
          <w:lang w:val="zh-CN"/>
        </w:rPr>
        <w:t>。</w:t>
      </w:r>
    </w:p>
    <w:p w14:paraId="14A982DC">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w:t>
      </w:r>
      <w:r>
        <w:rPr>
          <w:rStyle w:val="14"/>
          <w:rFonts w:hint="eastAsia" w:ascii="黑体" w:eastAsia="黑体"/>
          <w:sz w:val="30"/>
          <w:szCs w:val="30"/>
          <w:lang w:val="en-US" w:eastAsia="zh-CN"/>
        </w:rPr>
        <w:t>二</w:t>
      </w:r>
      <w:r>
        <w:rPr>
          <w:rStyle w:val="14"/>
          <w:rFonts w:ascii="黑体" w:eastAsia="黑体"/>
          <w:sz w:val="30"/>
          <w:szCs w:val="30"/>
        </w:rPr>
        <w:t>条</w:t>
      </w:r>
      <w:r>
        <w:rPr>
          <w:rStyle w:val="14"/>
          <w:rFonts w:ascii="仿宋_GB2312" w:hAnsi="宋体" w:eastAsia="仿宋_GB2312"/>
          <w:sz w:val="30"/>
          <w:szCs w:val="30"/>
          <w:lang w:val="zh-CN"/>
        </w:rPr>
        <w:t xml:space="preserve"> 合同执行完毕后，</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方凭</w:t>
      </w:r>
      <w:r>
        <w:rPr>
          <w:rFonts w:hint="eastAsia" w:ascii="仿宋_GB2312" w:eastAsia="仿宋_GB2312" w:cs="Times New Roman"/>
          <w:sz w:val="30"/>
        </w:rPr>
        <w:t>《验收确认单》</w:t>
      </w:r>
      <w:r>
        <w:rPr>
          <w:rStyle w:val="14"/>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0DC41DD2">
      <w:pPr>
        <w:spacing w:line="800" w:lineRule="exact"/>
        <w:jc w:val="center"/>
        <w:rPr>
          <w:rStyle w:val="14"/>
          <w:rFonts w:ascii="黑体" w:eastAsia="黑体" w:cs="Times New Roman"/>
          <w:bCs/>
          <w:sz w:val="32"/>
        </w:rPr>
      </w:pPr>
      <w:r>
        <w:rPr>
          <w:rStyle w:val="14"/>
          <w:rFonts w:ascii="黑体" w:eastAsia="黑体" w:cs="Times New Roman"/>
          <w:bCs/>
          <w:sz w:val="32"/>
        </w:rPr>
        <w:t>第七章  违约处罚</w:t>
      </w:r>
    </w:p>
    <w:p w14:paraId="56CABA0B">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w:t>
      </w:r>
      <w:r>
        <w:rPr>
          <w:rStyle w:val="14"/>
          <w:rFonts w:hint="eastAsia" w:ascii="黑体" w:eastAsia="黑体"/>
          <w:sz w:val="30"/>
          <w:lang w:val="en-US" w:eastAsia="zh-CN"/>
        </w:rPr>
        <w:t>三</w:t>
      </w:r>
      <w:r>
        <w:rPr>
          <w:rStyle w:val="14"/>
          <w:rFonts w:ascii="黑体" w:eastAsia="黑体"/>
          <w:sz w:val="30"/>
        </w:rPr>
        <w:t>条</w:t>
      </w:r>
      <w:r>
        <w:rPr>
          <w:rStyle w:val="14"/>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4"/>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4"/>
          <w:rFonts w:ascii="仿宋_GB2312" w:eastAsia="仿宋_GB2312"/>
          <w:sz w:val="30"/>
        </w:rPr>
        <w:t>安徽省粮食和物资储备保障中心（国家粮食安徽交易中心）</w:t>
      </w:r>
      <w:r>
        <w:rPr>
          <w:rStyle w:val="14"/>
          <w:rFonts w:ascii="仿宋_GB2312" w:hAnsi="宋体" w:eastAsia="仿宋_GB2312"/>
          <w:sz w:val="30"/>
          <w:szCs w:val="30"/>
          <w:lang w:val="zh-CN"/>
        </w:rPr>
        <w:t>。</w:t>
      </w:r>
    </w:p>
    <w:p w14:paraId="418CA143">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第三十</w:t>
      </w:r>
      <w:r>
        <w:rPr>
          <w:rStyle w:val="14"/>
          <w:rFonts w:hint="eastAsia" w:ascii="黑体" w:eastAsia="黑体"/>
          <w:sz w:val="30"/>
          <w:lang w:val="en-US" w:eastAsia="zh-CN"/>
        </w:rPr>
        <w:t>四</w:t>
      </w:r>
      <w:r>
        <w:rPr>
          <w:rStyle w:val="14"/>
          <w:rFonts w:ascii="黑体" w:eastAsia="黑体"/>
          <w:sz w:val="30"/>
        </w:rPr>
        <w:t>条</w:t>
      </w:r>
      <w:r>
        <w:rPr>
          <w:rStyle w:val="14"/>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4"/>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4"/>
          <w:rFonts w:ascii="仿宋_GB2312" w:hAnsi="宋体" w:eastAsia="仿宋_GB2312"/>
          <w:spacing w:val="6"/>
          <w:sz w:val="30"/>
          <w:szCs w:val="30"/>
          <w:lang w:val="zh-CN"/>
        </w:rPr>
        <w:t>。</w:t>
      </w:r>
    </w:p>
    <w:p w14:paraId="25660A9B">
      <w:pPr>
        <w:spacing w:line="560" w:lineRule="exact"/>
        <w:ind w:firstLine="600" w:firstLineChars="200"/>
        <w:rPr>
          <w:rStyle w:val="14"/>
          <w:rFonts w:ascii="仿宋_GB2312" w:eastAsia="仿宋_GB2312"/>
          <w:sz w:val="30"/>
        </w:rPr>
      </w:pPr>
      <w:r>
        <w:rPr>
          <w:rStyle w:val="14"/>
          <w:rFonts w:ascii="黑体" w:eastAsia="黑体"/>
          <w:sz w:val="30"/>
        </w:rPr>
        <w:t>第三十</w:t>
      </w:r>
      <w:r>
        <w:rPr>
          <w:rStyle w:val="14"/>
          <w:rFonts w:hint="eastAsia" w:ascii="黑体" w:eastAsia="黑体"/>
          <w:sz w:val="30"/>
          <w:lang w:val="en-US" w:eastAsia="zh-CN"/>
        </w:rPr>
        <w:t>五</w:t>
      </w:r>
      <w:r>
        <w:rPr>
          <w:rStyle w:val="14"/>
          <w:rFonts w:ascii="黑体" w:eastAsia="黑体"/>
          <w:sz w:val="30"/>
        </w:rPr>
        <w:t>条</w:t>
      </w:r>
      <w:r>
        <w:rPr>
          <w:rStyle w:val="14"/>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2D4A6A75">
      <w:pPr>
        <w:spacing w:line="560" w:lineRule="exact"/>
        <w:ind w:firstLine="600" w:firstLineChars="200"/>
        <w:rPr>
          <w:rStyle w:val="14"/>
          <w:rFonts w:ascii="仿宋_GB2312" w:eastAsia="仿宋_GB2312"/>
          <w:sz w:val="30"/>
        </w:rPr>
      </w:pPr>
      <w:r>
        <w:rPr>
          <w:rStyle w:val="14"/>
          <w:rFonts w:ascii="黑体" w:eastAsia="黑体"/>
          <w:sz w:val="30"/>
        </w:rPr>
        <w:t>第三十</w:t>
      </w:r>
      <w:r>
        <w:rPr>
          <w:rStyle w:val="14"/>
          <w:rFonts w:hint="eastAsia" w:ascii="黑体" w:eastAsia="黑体"/>
          <w:sz w:val="30"/>
          <w:lang w:val="en-US" w:eastAsia="zh-CN"/>
        </w:rPr>
        <w:t>六</w:t>
      </w:r>
      <w:r>
        <w:rPr>
          <w:rStyle w:val="14"/>
          <w:rFonts w:ascii="黑体" w:eastAsia="黑体"/>
          <w:sz w:val="30"/>
        </w:rPr>
        <w:t>条</w:t>
      </w:r>
      <w:r>
        <w:rPr>
          <w:rStyle w:val="14"/>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58EF5D6F">
      <w:pPr>
        <w:spacing w:line="800" w:lineRule="exact"/>
        <w:jc w:val="center"/>
        <w:rPr>
          <w:rStyle w:val="14"/>
          <w:rFonts w:ascii="黑体" w:eastAsia="黑体" w:cs="Times New Roman"/>
          <w:bCs/>
          <w:sz w:val="32"/>
        </w:rPr>
      </w:pPr>
      <w:r>
        <w:rPr>
          <w:rStyle w:val="14"/>
          <w:rFonts w:ascii="黑体" w:eastAsia="黑体" w:cs="Times New Roman"/>
          <w:bCs/>
          <w:sz w:val="32"/>
        </w:rPr>
        <w:t>第八章  附 则</w:t>
      </w:r>
    </w:p>
    <w:p w14:paraId="1B8C3922">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w:t>
      </w:r>
      <w:r>
        <w:rPr>
          <w:rStyle w:val="14"/>
          <w:rFonts w:hint="eastAsia" w:ascii="黑体" w:eastAsia="黑体"/>
          <w:sz w:val="30"/>
          <w:lang w:val="en-US" w:eastAsia="zh-CN"/>
        </w:rPr>
        <w:t>七</w:t>
      </w:r>
      <w:r>
        <w:rPr>
          <w:rStyle w:val="14"/>
          <w:rFonts w:ascii="黑体" w:eastAsia="黑体"/>
          <w:sz w:val="30"/>
        </w:rPr>
        <w:t>条</w:t>
      </w:r>
      <w:r>
        <w:rPr>
          <w:rStyle w:val="14"/>
          <w:rFonts w:ascii="仿宋_GB2312" w:eastAsia="仿宋_GB2312"/>
          <w:sz w:val="30"/>
        </w:rPr>
        <w:t xml:space="preserve">  </w:t>
      </w:r>
      <w:r>
        <w:rPr>
          <w:rStyle w:val="14"/>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5F15FEFC">
      <w:pPr>
        <w:spacing w:line="560" w:lineRule="exact"/>
        <w:ind w:firstLine="600" w:firstLineChars="200"/>
        <w:rPr>
          <w:rStyle w:val="14"/>
          <w:rFonts w:ascii="仿宋_GB2312" w:eastAsia="仿宋_GB2312"/>
          <w:color w:val="0000FF"/>
          <w:sz w:val="30"/>
        </w:rPr>
      </w:pPr>
      <w:r>
        <w:rPr>
          <w:rStyle w:val="14"/>
          <w:rFonts w:ascii="黑体" w:eastAsia="黑体" w:cs="Times New Roman"/>
          <w:sz w:val="30"/>
        </w:rPr>
        <w:t>第三十</w:t>
      </w:r>
      <w:r>
        <w:rPr>
          <w:rStyle w:val="14"/>
          <w:rFonts w:hint="eastAsia" w:ascii="黑体" w:eastAsia="黑体" w:cs="Times New Roman"/>
          <w:sz w:val="30"/>
          <w:lang w:val="en-US" w:eastAsia="zh-CN"/>
        </w:rPr>
        <w:t>八</w:t>
      </w:r>
      <w:r>
        <w:rPr>
          <w:rStyle w:val="14"/>
          <w:rFonts w:ascii="黑体" w:eastAsia="黑体" w:cs="Times New Roman"/>
          <w:sz w:val="30"/>
        </w:rPr>
        <w:t xml:space="preserve">条 </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4"/>
          <w:rFonts w:ascii="仿宋_GB2312" w:eastAsia="仿宋_GB2312"/>
          <w:color w:val="0000FF"/>
          <w:sz w:val="30"/>
        </w:rPr>
        <w:t>。</w:t>
      </w:r>
    </w:p>
    <w:p w14:paraId="7D4D3EFF">
      <w:pPr>
        <w:spacing w:line="560" w:lineRule="exact"/>
        <w:ind w:firstLine="600" w:firstLineChars="200"/>
        <w:rPr>
          <w:rStyle w:val="14"/>
          <w:rFonts w:ascii="仿宋_GB2312" w:hAnsi="宋体" w:eastAsia="仿宋_GB2312"/>
          <w:sz w:val="28"/>
        </w:rPr>
      </w:pPr>
      <w:r>
        <w:rPr>
          <w:rStyle w:val="14"/>
          <w:rFonts w:ascii="黑体" w:eastAsia="黑体"/>
          <w:sz w:val="30"/>
        </w:rPr>
        <w:t>第</w:t>
      </w:r>
      <w:r>
        <w:rPr>
          <w:rStyle w:val="14"/>
          <w:rFonts w:hint="eastAsia" w:ascii="黑体" w:eastAsia="黑体"/>
          <w:sz w:val="30"/>
          <w:lang w:val="en-US" w:eastAsia="zh-CN"/>
        </w:rPr>
        <w:t>三</w:t>
      </w:r>
      <w:r>
        <w:rPr>
          <w:rStyle w:val="14"/>
          <w:rFonts w:ascii="黑体" w:eastAsia="黑体"/>
          <w:sz w:val="30"/>
        </w:rPr>
        <w:t>十</w:t>
      </w:r>
      <w:r>
        <w:rPr>
          <w:rStyle w:val="14"/>
          <w:rFonts w:hint="eastAsia" w:ascii="黑体" w:eastAsia="黑体"/>
          <w:sz w:val="30"/>
          <w:lang w:val="en-US" w:eastAsia="zh-CN"/>
        </w:rPr>
        <w:t>九</w:t>
      </w:r>
      <w:r>
        <w:rPr>
          <w:rStyle w:val="14"/>
          <w:rFonts w:ascii="黑体" w:eastAsia="黑体"/>
          <w:sz w:val="30"/>
        </w:rPr>
        <w:t xml:space="preserve">条  </w:t>
      </w:r>
      <w:r>
        <w:rPr>
          <w:rStyle w:val="14"/>
          <w:rFonts w:ascii="仿宋_GB2312" w:hAnsi="宋体" w:eastAsia="仿宋_GB2312"/>
          <w:sz w:val="30"/>
          <w:szCs w:val="30"/>
          <w:lang w:val="zh-CN"/>
        </w:rPr>
        <w:t>本交易细则由</w:t>
      </w:r>
      <w:r>
        <w:rPr>
          <w:rStyle w:val="14"/>
          <w:rFonts w:hint="eastAsia" w:ascii="仿宋_GB2312" w:eastAsia="仿宋_GB2312"/>
          <w:sz w:val="30"/>
        </w:rPr>
        <w:t>安徽省粮食和物资储备保障中心（国家粮食安徽交易中心）</w:t>
      </w:r>
      <w:r>
        <w:rPr>
          <w:rStyle w:val="14"/>
          <w:rFonts w:ascii="仿宋_GB2312" w:hAnsi="宋体" w:eastAsia="仿宋_GB2312"/>
          <w:sz w:val="30"/>
          <w:szCs w:val="30"/>
          <w:lang w:val="zh-CN"/>
        </w:rPr>
        <w:t>负责</w:t>
      </w:r>
      <w:bookmarkStart w:id="0" w:name="_GoBack"/>
      <w:bookmarkEnd w:id="0"/>
      <w:r>
        <w:rPr>
          <w:rStyle w:val="14"/>
          <w:rFonts w:ascii="仿宋_GB2312" w:hAnsi="宋体" w:eastAsia="仿宋_GB2312"/>
          <w:sz w:val="30"/>
          <w:szCs w:val="30"/>
          <w:lang w:val="zh-CN"/>
        </w:rPr>
        <w:t>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0525E">
    <w:pPr>
      <w:pStyle w:val="3"/>
      <w:rPr>
        <w:rStyle w:val="14"/>
      </w:rPr>
    </w:pPr>
    <w:r>
      <w:rPr>
        <w:rStyle w:val="1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A67B506">
                          <w:pPr>
                            <w:pStyle w:val="3"/>
                            <w:rPr>
                              <w:rStyle w:val="14"/>
                            </w:rPr>
                          </w:pPr>
                        </w:p>
                        <w:p w14:paraId="06754E05">
                          <w:pPr>
                            <w:rPr>
                              <w:rStyle w:val="14"/>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4A67B506">
                    <w:pPr>
                      <w:pStyle w:val="3"/>
                      <w:rPr>
                        <w:rStyle w:val="14"/>
                      </w:rPr>
                    </w:pPr>
                  </w:p>
                  <w:p w14:paraId="06754E05">
                    <w:pPr>
                      <w:rPr>
                        <w:rStyle w:val="14"/>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122E9"/>
    <w:rsid w:val="00044224"/>
    <w:rsid w:val="0007158C"/>
    <w:rsid w:val="00083BF0"/>
    <w:rsid w:val="00087C9F"/>
    <w:rsid w:val="000B5B02"/>
    <w:rsid w:val="000C6DCB"/>
    <w:rsid w:val="000C6EC3"/>
    <w:rsid w:val="000D7F7E"/>
    <w:rsid w:val="000F1785"/>
    <w:rsid w:val="000F732E"/>
    <w:rsid w:val="00115DAC"/>
    <w:rsid w:val="001169A0"/>
    <w:rsid w:val="0013567E"/>
    <w:rsid w:val="0016772E"/>
    <w:rsid w:val="00171B30"/>
    <w:rsid w:val="00183DE7"/>
    <w:rsid w:val="001A4ED4"/>
    <w:rsid w:val="001C638A"/>
    <w:rsid w:val="001D5FC2"/>
    <w:rsid w:val="001E0349"/>
    <w:rsid w:val="001E6E7F"/>
    <w:rsid w:val="00216E34"/>
    <w:rsid w:val="002249AD"/>
    <w:rsid w:val="00232F4F"/>
    <w:rsid w:val="002473E8"/>
    <w:rsid w:val="002753F8"/>
    <w:rsid w:val="00281C32"/>
    <w:rsid w:val="00283E94"/>
    <w:rsid w:val="00290EA5"/>
    <w:rsid w:val="002A3085"/>
    <w:rsid w:val="002B4D51"/>
    <w:rsid w:val="002C72DE"/>
    <w:rsid w:val="002E5278"/>
    <w:rsid w:val="002F09CA"/>
    <w:rsid w:val="002F249D"/>
    <w:rsid w:val="002F2BA0"/>
    <w:rsid w:val="002F639B"/>
    <w:rsid w:val="00306372"/>
    <w:rsid w:val="003070B1"/>
    <w:rsid w:val="00310B35"/>
    <w:rsid w:val="00321BC7"/>
    <w:rsid w:val="00330BA6"/>
    <w:rsid w:val="00382C88"/>
    <w:rsid w:val="003A25BA"/>
    <w:rsid w:val="003C425E"/>
    <w:rsid w:val="003D34A9"/>
    <w:rsid w:val="003D55AE"/>
    <w:rsid w:val="003E0FF8"/>
    <w:rsid w:val="003E1EB5"/>
    <w:rsid w:val="003E73CF"/>
    <w:rsid w:val="003F1A27"/>
    <w:rsid w:val="004115BB"/>
    <w:rsid w:val="00414B7A"/>
    <w:rsid w:val="00420876"/>
    <w:rsid w:val="00421D2D"/>
    <w:rsid w:val="00430C9A"/>
    <w:rsid w:val="00441A85"/>
    <w:rsid w:val="00446272"/>
    <w:rsid w:val="00452135"/>
    <w:rsid w:val="00453FBF"/>
    <w:rsid w:val="00477335"/>
    <w:rsid w:val="004837E0"/>
    <w:rsid w:val="0049267B"/>
    <w:rsid w:val="00496C39"/>
    <w:rsid w:val="004B19B0"/>
    <w:rsid w:val="004F4F5F"/>
    <w:rsid w:val="00502D9B"/>
    <w:rsid w:val="00515861"/>
    <w:rsid w:val="00536837"/>
    <w:rsid w:val="00536AEA"/>
    <w:rsid w:val="0054357D"/>
    <w:rsid w:val="0055509F"/>
    <w:rsid w:val="005746BA"/>
    <w:rsid w:val="00575C73"/>
    <w:rsid w:val="005A11C2"/>
    <w:rsid w:val="005A4278"/>
    <w:rsid w:val="005B0440"/>
    <w:rsid w:val="005B474E"/>
    <w:rsid w:val="005C38D9"/>
    <w:rsid w:val="005C449C"/>
    <w:rsid w:val="006011A7"/>
    <w:rsid w:val="00610A94"/>
    <w:rsid w:val="00622F42"/>
    <w:rsid w:val="00636774"/>
    <w:rsid w:val="0064391D"/>
    <w:rsid w:val="00643E00"/>
    <w:rsid w:val="00660276"/>
    <w:rsid w:val="00697405"/>
    <w:rsid w:val="006B6897"/>
    <w:rsid w:val="006C0E8F"/>
    <w:rsid w:val="006C2017"/>
    <w:rsid w:val="006E2E0F"/>
    <w:rsid w:val="006E7384"/>
    <w:rsid w:val="00715940"/>
    <w:rsid w:val="007246C1"/>
    <w:rsid w:val="00730EE6"/>
    <w:rsid w:val="0074158B"/>
    <w:rsid w:val="00754669"/>
    <w:rsid w:val="007625BB"/>
    <w:rsid w:val="00771045"/>
    <w:rsid w:val="00774B65"/>
    <w:rsid w:val="00776EEF"/>
    <w:rsid w:val="007B78B7"/>
    <w:rsid w:val="007C26FD"/>
    <w:rsid w:val="007D4089"/>
    <w:rsid w:val="007D6235"/>
    <w:rsid w:val="00800FF1"/>
    <w:rsid w:val="00813EA4"/>
    <w:rsid w:val="00844522"/>
    <w:rsid w:val="008500AF"/>
    <w:rsid w:val="00852DB7"/>
    <w:rsid w:val="00854715"/>
    <w:rsid w:val="00866F79"/>
    <w:rsid w:val="008B288F"/>
    <w:rsid w:val="008C16A3"/>
    <w:rsid w:val="008D2D2E"/>
    <w:rsid w:val="008D6CF0"/>
    <w:rsid w:val="008F6C96"/>
    <w:rsid w:val="0094417B"/>
    <w:rsid w:val="00966BC2"/>
    <w:rsid w:val="00971F07"/>
    <w:rsid w:val="00977C0C"/>
    <w:rsid w:val="0098360A"/>
    <w:rsid w:val="0099750D"/>
    <w:rsid w:val="009A1C14"/>
    <w:rsid w:val="009B03F8"/>
    <w:rsid w:val="009C1A05"/>
    <w:rsid w:val="009C1DD5"/>
    <w:rsid w:val="009C3FF5"/>
    <w:rsid w:val="009E0687"/>
    <w:rsid w:val="009E6BA2"/>
    <w:rsid w:val="009F212F"/>
    <w:rsid w:val="009F51B8"/>
    <w:rsid w:val="00A05F64"/>
    <w:rsid w:val="00A15723"/>
    <w:rsid w:val="00A22539"/>
    <w:rsid w:val="00A22EFE"/>
    <w:rsid w:val="00A25B2D"/>
    <w:rsid w:val="00A364F3"/>
    <w:rsid w:val="00A5194F"/>
    <w:rsid w:val="00A542AE"/>
    <w:rsid w:val="00A741AE"/>
    <w:rsid w:val="00A82BF5"/>
    <w:rsid w:val="00A91365"/>
    <w:rsid w:val="00AA1579"/>
    <w:rsid w:val="00AE628B"/>
    <w:rsid w:val="00AE645A"/>
    <w:rsid w:val="00B00BEC"/>
    <w:rsid w:val="00B23DB3"/>
    <w:rsid w:val="00B32494"/>
    <w:rsid w:val="00B43FB8"/>
    <w:rsid w:val="00B518D6"/>
    <w:rsid w:val="00B5350F"/>
    <w:rsid w:val="00B71BE3"/>
    <w:rsid w:val="00B76712"/>
    <w:rsid w:val="00B81CDA"/>
    <w:rsid w:val="00B826F0"/>
    <w:rsid w:val="00B8452E"/>
    <w:rsid w:val="00B86640"/>
    <w:rsid w:val="00BA439F"/>
    <w:rsid w:val="00BA52B7"/>
    <w:rsid w:val="00BA5E6F"/>
    <w:rsid w:val="00BB056F"/>
    <w:rsid w:val="00BB25A1"/>
    <w:rsid w:val="00BB3629"/>
    <w:rsid w:val="00BB37BA"/>
    <w:rsid w:val="00BC6EE7"/>
    <w:rsid w:val="00BD4699"/>
    <w:rsid w:val="00BE7F39"/>
    <w:rsid w:val="00BF57B6"/>
    <w:rsid w:val="00BF7DC4"/>
    <w:rsid w:val="00C15AA9"/>
    <w:rsid w:val="00C229CD"/>
    <w:rsid w:val="00C22BD6"/>
    <w:rsid w:val="00C318B1"/>
    <w:rsid w:val="00C51580"/>
    <w:rsid w:val="00C5255F"/>
    <w:rsid w:val="00C55073"/>
    <w:rsid w:val="00C555DA"/>
    <w:rsid w:val="00CA48CD"/>
    <w:rsid w:val="00CC0193"/>
    <w:rsid w:val="00CC6806"/>
    <w:rsid w:val="00CD08C4"/>
    <w:rsid w:val="00CD29DF"/>
    <w:rsid w:val="00CE13E6"/>
    <w:rsid w:val="00D02047"/>
    <w:rsid w:val="00D32FA5"/>
    <w:rsid w:val="00D52221"/>
    <w:rsid w:val="00D71BEB"/>
    <w:rsid w:val="00D72F28"/>
    <w:rsid w:val="00D73659"/>
    <w:rsid w:val="00D74F0F"/>
    <w:rsid w:val="00D82436"/>
    <w:rsid w:val="00DA2FE6"/>
    <w:rsid w:val="00DA73D8"/>
    <w:rsid w:val="00DB008D"/>
    <w:rsid w:val="00DC15A3"/>
    <w:rsid w:val="00DC6F85"/>
    <w:rsid w:val="00DD665C"/>
    <w:rsid w:val="00DD79D2"/>
    <w:rsid w:val="00DE3011"/>
    <w:rsid w:val="00DF372D"/>
    <w:rsid w:val="00E07C89"/>
    <w:rsid w:val="00E12AEE"/>
    <w:rsid w:val="00E14120"/>
    <w:rsid w:val="00E42AC1"/>
    <w:rsid w:val="00E656FD"/>
    <w:rsid w:val="00E77A5D"/>
    <w:rsid w:val="00E836BE"/>
    <w:rsid w:val="00E84A6D"/>
    <w:rsid w:val="00E92593"/>
    <w:rsid w:val="00EB16CE"/>
    <w:rsid w:val="00EB3F20"/>
    <w:rsid w:val="00EF17AA"/>
    <w:rsid w:val="00EF5AAA"/>
    <w:rsid w:val="00EF6280"/>
    <w:rsid w:val="00F019F2"/>
    <w:rsid w:val="00F1254C"/>
    <w:rsid w:val="00F17274"/>
    <w:rsid w:val="00F22271"/>
    <w:rsid w:val="00F23B6A"/>
    <w:rsid w:val="00F40F9B"/>
    <w:rsid w:val="00F52A11"/>
    <w:rsid w:val="00F70A14"/>
    <w:rsid w:val="00F7398A"/>
    <w:rsid w:val="00F925F7"/>
    <w:rsid w:val="00F94402"/>
    <w:rsid w:val="00F96217"/>
    <w:rsid w:val="00FB5023"/>
    <w:rsid w:val="00FD2360"/>
    <w:rsid w:val="00FF2771"/>
    <w:rsid w:val="00FF3E43"/>
    <w:rsid w:val="00FF6A26"/>
    <w:rsid w:val="0184458D"/>
    <w:rsid w:val="03265AFF"/>
    <w:rsid w:val="04930218"/>
    <w:rsid w:val="064614D7"/>
    <w:rsid w:val="069E62F0"/>
    <w:rsid w:val="07BC2AC8"/>
    <w:rsid w:val="07F726F3"/>
    <w:rsid w:val="083B70AA"/>
    <w:rsid w:val="08FF26FB"/>
    <w:rsid w:val="096E4BCD"/>
    <w:rsid w:val="09D34D30"/>
    <w:rsid w:val="0A130014"/>
    <w:rsid w:val="0A2F4D26"/>
    <w:rsid w:val="0AE64070"/>
    <w:rsid w:val="0B1934B2"/>
    <w:rsid w:val="0EE31559"/>
    <w:rsid w:val="0FCE4DD1"/>
    <w:rsid w:val="11137573"/>
    <w:rsid w:val="123A29F6"/>
    <w:rsid w:val="132F62D2"/>
    <w:rsid w:val="13E46A8D"/>
    <w:rsid w:val="144A2845"/>
    <w:rsid w:val="187071EB"/>
    <w:rsid w:val="196D545F"/>
    <w:rsid w:val="19F11B7A"/>
    <w:rsid w:val="1B5C39DD"/>
    <w:rsid w:val="21B04A82"/>
    <w:rsid w:val="222F1E4B"/>
    <w:rsid w:val="24B523BE"/>
    <w:rsid w:val="25AD6DA4"/>
    <w:rsid w:val="26795D71"/>
    <w:rsid w:val="293B2E83"/>
    <w:rsid w:val="299A7794"/>
    <w:rsid w:val="2A3B0949"/>
    <w:rsid w:val="2C285582"/>
    <w:rsid w:val="2CB54F61"/>
    <w:rsid w:val="2CB6721E"/>
    <w:rsid w:val="2CEA2FD0"/>
    <w:rsid w:val="2DA9069F"/>
    <w:rsid w:val="2DF1038E"/>
    <w:rsid w:val="2EB77450"/>
    <w:rsid w:val="2F561217"/>
    <w:rsid w:val="334D0383"/>
    <w:rsid w:val="339F48BF"/>
    <w:rsid w:val="3541551D"/>
    <w:rsid w:val="35ED30EC"/>
    <w:rsid w:val="36334054"/>
    <w:rsid w:val="36590DED"/>
    <w:rsid w:val="381B0A50"/>
    <w:rsid w:val="38682BFC"/>
    <w:rsid w:val="398F42EA"/>
    <w:rsid w:val="39A9158A"/>
    <w:rsid w:val="3B1672AC"/>
    <w:rsid w:val="3D0C4E0B"/>
    <w:rsid w:val="3D987BD5"/>
    <w:rsid w:val="3DA13882"/>
    <w:rsid w:val="3DA46DF1"/>
    <w:rsid w:val="3DCE7351"/>
    <w:rsid w:val="3DDC6D34"/>
    <w:rsid w:val="3E3343A8"/>
    <w:rsid w:val="43402834"/>
    <w:rsid w:val="44896D41"/>
    <w:rsid w:val="46980632"/>
    <w:rsid w:val="479C4115"/>
    <w:rsid w:val="47B436FB"/>
    <w:rsid w:val="48520375"/>
    <w:rsid w:val="4A351CA2"/>
    <w:rsid w:val="4B084100"/>
    <w:rsid w:val="4B2075A7"/>
    <w:rsid w:val="4B2F03E3"/>
    <w:rsid w:val="4B406334"/>
    <w:rsid w:val="4C3B4DC5"/>
    <w:rsid w:val="4E001625"/>
    <w:rsid w:val="4EF179BD"/>
    <w:rsid w:val="52C62AE3"/>
    <w:rsid w:val="5A1B7FE4"/>
    <w:rsid w:val="5AF56D95"/>
    <w:rsid w:val="5BF12AC8"/>
    <w:rsid w:val="5CEC6DE7"/>
    <w:rsid w:val="5DE146F6"/>
    <w:rsid w:val="5DE652E3"/>
    <w:rsid w:val="5ED2035F"/>
    <w:rsid w:val="5F3F65D8"/>
    <w:rsid w:val="5F967DE9"/>
    <w:rsid w:val="636D5D54"/>
    <w:rsid w:val="64066E18"/>
    <w:rsid w:val="64316853"/>
    <w:rsid w:val="65000502"/>
    <w:rsid w:val="65524212"/>
    <w:rsid w:val="6585427D"/>
    <w:rsid w:val="67241AE9"/>
    <w:rsid w:val="69110F2F"/>
    <w:rsid w:val="6917406C"/>
    <w:rsid w:val="6979079C"/>
    <w:rsid w:val="69A81570"/>
    <w:rsid w:val="69AC6EAA"/>
    <w:rsid w:val="69DB51E5"/>
    <w:rsid w:val="6A032D78"/>
    <w:rsid w:val="6AF051AD"/>
    <w:rsid w:val="6EF32E85"/>
    <w:rsid w:val="6F727DFB"/>
    <w:rsid w:val="6F795A80"/>
    <w:rsid w:val="715C1752"/>
    <w:rsid w:val="744321B9"/>
    <w:rsid w:val="74576634"/>
    <w:rsid w:val="75BE366F"/>
    <w:rsid w:val="776808B4"/>
    <w:rsid w:val="78960A02"/>
    <w:rsid w:val="79A476B7"/>
    <w:rsid w:val="7AAF3D31"/>
    <w:rsid w:val="7B045D1E"/>
    <w:rsid w:val="7B6E45A3"/>
    <w:rsid w:val="7CC545F2"/>
    <w:rsid w:val="7D67516A"/>
    <w:rsid w:val="7E837D82"/>
    <w:rsid w:val="7FE242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8"/>
    <w:qFormat/>
    <w:uiPriority w:val="0"/>
    <w:pPr>
      <w:tabs>
        <w:tab w:val="center" w:pos="4153"/>
        <w:tab w:val="right" w:pos="8306"/>
      </w:tabs>
      <w:snapToGrid w:val="0"/>
      <w:jc w:val="left"/>
    </w:pPr>
    <w:rPr>
      <w:sz w:val="18"/>
      <w:szCs w:val="18"/>
    </w:rPr>
  </w:style>
  <w:style w:type="paragraph" w:styleId="4">
    <w:name w:val="header"/>
    <w:basedOn w:val="1"/>
    <w:link w:val="19"/>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ode"/>
    <w:basedOn w:val="7"/>
    <w:qFormat/>
    <w:uiPriority w:val="0"/>
    <w:rPr>
      <w:rFonts w:ascii="Courier" w:hAnsi="Courier" w:cs="Courier"/>
      <w:sz w:val="20"/>
    </w:rPr>
  </w:style>
  <w:style w:type="character" w:styleId="13">
    <w:name w:val="HTML Cite"/>
    <w:basedOn w:val="7"/>
    <w:qFormat/>
    <w:uiPriority w:val="0"/>
    <w:rPr>
      <w:color w:val="999999"/>
    </w:rPr>
  </w:style>
  <w:style w:type="character" w:customStyle="1" w:styleId="14">
    <w:name w:val="NormalCharacter"/>
    <w:semiHidden/>
    <w:qFormat/>
    <w:uiPriority w:val="0"/>
  </w:style>
  <w:style w:type="table" w:customStyle="1" w:styleId="15">
    <w:name w:val="TableNormal"/>
    <w:semiHidden/>
    <w:qFormat/>
    <w:uiPriority w:val="0"/>
    <w:tblPr>
      <w:tblCellMar>
        <w:top w:w="0" w:type="dxa"/>
        <w:left w:w="0" w:type="dxa"/>
        <w:bottom w:w="0" w:type="dxa"/>
        <w:right w:w="0" w:type="dxa"/>
      </w:tblCellMar>
    </w:tblPr>
  </w:style>
  <w:style w:type="paragraph" w:customStyle="1" w:styleId="16">
    <w:name w:val="AnnotationText"/>
    <w:basedOn w:val="1"/>
    <w:qFormat/>
    <w:uiPriority w:val="0"/>
    <w:pPr>
      <w:jc w:val="left"/>
    </w:pPr>
  </w:style>
  <w:style w:type="paragraph" w:customStyle="1" w:styleId="17">
    <w:name w:val="Acetate"/>
    <w:basedOn w:val="1"/>
    <w:semiHidden/>
    <w:qFormat/>
    <w:uiPriority w:val="0"/>
    <w:rPr>
      <w:sz w:val="18"/>
      <w:szCs w:val="18"/>
    </w:rPr>
  </w:style>
  <w:style w:type="character" w:customStyle="1" w:styleId="18">
    <w:name w:val="页脚 字符"/>
    <w:link w:val="3"/>
    <w:qFormat/>
    <w:uiPriority w:val="0"/>
    <w:rPr>
      <w:kern w:val="2"/>
      <w:sz w:val="18"/>
      <w:szCs w:val="18"/>
    </w:rPr>
  </w:style>
  <w:style w:type="character" w:customStyle="1" w:styleId="19">
    <w:name w:val="页眉 字符"/>
    <w:link w:val="4"/>
    <w:qFormat/>
    <w:uiPriority w:val="0"/>
    <w:rPr>
      <w:kern w:val="2"/>
      <w:sz w:val="18"/>
      <w:szCs w:val="18"/>
    </w:rPr>
  </w:style>
  <w:style w:type="table" w:customStyle="1" w:styleId="20">
    <w:name w:val="TableGrid"/>
    <w:basedOn w:val="15"/>
    <w:qFormat/>
    <w:uiPriority w:val="0"/>
  </w:style>
  <w:style w:type="paragraph" w:customStyle="1" w:styleId="21">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2">
    <w:name w:val="layui-layer-tabnow"/>
    <w:basedOn w:val="7"/>
    <w:qFormat/>
    <w:uiPriority w:val="0"/>
    <w:rPr>
      <w:bdr w:val="single" w:color="CCCCCC" w:sz="6" w:space="0"/>
      <w:shd w:val="clear" w:color="auto" w:fill="FFFFFF"/>
    </w:rPr>
  </w:style>
  <w:style w:type="character" w:customStyle="1" w:styleId="23">
    <w:name w:val="first-child"/>
    <w:basedOn w:val="7"/>
    <w:qFormat/>
    <w:uiPriority w:val="0"/>
  </w:style>
  <w:style w:type="character" w:customStyle="1" w:styleId="24">
    <w:name w:val="font21"/>
    <w:basedOn w:val="7"/>
    <w:qFormat/>
    <w:uiPriority w:val="0"/>
    <w:rPr>
      <w:rFonts w:hint="default" w:ascii="仿宋_GB2312" w:eastAsia="仿宋_GB2312" w:cs="仿宋_GB2312"/>
      <w:color w:val="000000"/>
      <w:sz w:val="24"/>
      <w:szCs w:val="24"/>
      <w:u w:val="none"/>
    </w:rPr>
  </w:style>
  <w:style w:type="character" w:customStyle="1" w:styleId="25">
    <w:name w:val="font61"/>
    <w:basedOn w:val="7"/>
    <w:qFormat/>
    <w:uiPriority w:val="0"/>
    <w:rPr>
      <w:rFonts w:hint="default" w:ascii="仿宋_GB2312" w:eastAsia="仿宋_GB2312" w:cs="仿宋_GB2312"/>
      <w:color w:val="333333"/>
      <w:sz w:val="24"/>
      <w:szCs w:val="24"/>
      <w:u w:val="none"/>
    </w:rPr>
  </w:style>
  <w:style w:type="character" w:customStyle="1" w:styleId="26">
    <w:name w:val="active1"/>
    <w:basedOn w:val="7"/>
    <w:qFormat/>
    <w:uiPriority w:val="0"/>
    <w:rPr>
      <w:shd w:val="clear" w:fill="FFFFFF"/>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3533</Words>
  <Characters>3617</Characters>
  <Lines>27</Lines>
  <Paragraphs>7</Paragraphs>
  <TotalTime>0</TotalTime>
  <ScaleCrop>false</ScaleCrop>
  <LinksUpToDate>false</LinksUpToDate>
  <CharactersWithSpaces>3747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WPS_1706684652</cp:lastModifiedBy>
  <dcterms:modified xsi:type="dcterms:W3CDTF">2025-12-17T03:27:20Z</dcterms:modified>
  <cp:revision>217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450DE7E1DCDC4C5AADCE26D4CA4F706A</vt:lpwstr>
  </property>
  <property fmtid="{D5CDD505-2E9C-101B-9397-08002B2CF9AE}" pid="4" name="KSOTemplateDocerSaveRecord">
    <vt:lpwstr>eyJoZGlkIjoiYTAzOTA4ZDg2YWQ5NjQ0NjZmZWU2MzQ2NDg1YzkwNGMiLCJ1c2VySWQiOiIxNTc3NjM3MzIwIn0=</vt:lpwstr>
  </property>
</Properties>
</file>