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8EF0696">
      <w:pPr>
        <w:adjustRightInd w:val="0"/>
        <w:snapToGrid w:val="0"/>
        <w:spacing w:line="560" w:lineRule="exact"/>
        <w:jc w:val="center"/>
        <w:rPr>
          <w:rFonts w:ascii="宋体" w:hAnsi="宋体" w:cs="宋体"/>
          <w:b/>
          <w:sz w:val="44"/>
          <w:szCs w:val="44"/>
        </w:rPr>
      </w:pPr>
      <w:r>
        <w:rPr>
          <w:rFonts w:hint="eastAsia" w:ascii="宋体" w:hAnsi="宋体" w:cs="宋体"/>
          <w:b/>
          <w:sz w:val="44"/>
          <w:szCs w:val="44"/>
        </w:rPr>
        <w:t>安徽倮倮米业有限公司稻谷“购销统一”竞价交易细则</w:t>
      </w:r>
    </w:p>
    <w:p w14:paraId="7D390682">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第一章 总 则</w:t>
      </w:r>
    </w:p>
    <w:p w14:paraId="04327C29">
      <w:pPr>
        <w:spacing w:line="560" w:lineRule="exact"/>
        <w:ind w:firstLine="600" w:firstLineChars="200"/>
        <w:rPr>
          <w:rFonts w:ascii="仿宋_GB2312" w:eastAsia="仿宋_GB2312"/>
          <w:sz w:val="30"/>
        </w:rPr>
      </w:pPr>
      <w:r>
        <w:rPr>
          <w:rFonts w:hint="eastAsia" w:ascii="黑体" w:eastAsia="黑体"/>
          <w:sz w:val="30"/>
        </w:rPr>
        <w:t>第一条</w:t>
      </w:r>
      <w:r>
        <w:rPr>
          <w:rFonts w:hint="eastAsia" w:ascii="仿宋_GB2312" w:eastAsia="仿宋_GB2312"/>
          <w:sz w:val="30"/>
        </w:rPr>
        <w:t xml:space="preserve">  受安徽倮倮米业有限公司的委托，安徽省粮食和物资储备保障中心（国家粮食安徽交易中心）暨安徽农垦交易中心服务点承担本次晚籼稻谷“购销统一”竞价交易的具体工作。现制定本交易细则。</w:t>
      </w:r>
    </w:p>
    <w:p w14:paraId="67E23A86">
      <w:pPr>
        <w:spacing w:line="560" w:lineRule="exact"/>
        <w:ind w:firstLine="600" w:firstLineChars="200"/>
        <w:rPr>
          <w:rFonts w:ascii="仿宋_GB2312" w:eastAsia="仿宋_GB2312"/>
          <w:sz w:val="30"/>
        </w:rPr>
      </w:pPr>
      <w:r>
        <w:rPr>
          <w:rFonts w:hint="eastAsia" w:ascii="黑体" w:eastAsia="黑体"/>
          <w:sz w:val="30"/>
        </w:rPr>
        <w:t>第二条</w:t>
      </w:r>
      <w:r>
        <w:rPr>
          <w:rFonts w:hint="eastAsia" w:ascii="仿宋_GB2312" w:eastAsia="仿宋_GB2312"/>
          <w:sz w:val="30"/>
        </w:rPr>
        <w:t xml:space="preserve"> 承储库点（以下简称“库方”）作为交易活动的代表，具体负责出入库、商务处理等工作，并承担相应的责任。参加交易的销售、采购稻谷方（参与竞价的供货方和购买方必须是同一企业，以下简称“交易客户”）必须是具有粮油经营资格且认同国家粮食安徽交易中心本次交易公告所有内容的法人企业。</w:t>
      </w:r>
    </w:p>
    <w:p w14:paraId="2A8B9268">
      <w:pPr>
        <w:spacing w:line="560" w:lineRule="exact"/>
        <w:ind w:firstLine="600" w:firstLineChars="200"/>
        <w:rPr>
          <w:rFonts w:ascii="仿宋_GB2312" w:eastAsia="仿宋_GB2312"/>
          <w:sz w:val="30"/>
        </w:rPr>
      </w:pPr>
      <w:r>
        <w:rPr>
          <w:rFonts w:hint="eastAsia" w:ascii="黑体" w:eastAsia="黑体"/>
          <w:sz w:val="30"/>
        </w:rPr>
        <w:t xml:space="preserve">第三条 </w:t>
      </w:r>
      <w:r>
        <w:rPr>
          <w:rFonts w:hint="eastAsia" w:ascii="仿宋_GB2312" w:eastAsia="仿宋_GB2312"/>
          <w:sz w:val="30"/>
        </w:rPr>
        <w:t xml:space="preserve">安徽省粮食和物资储备保障中心（国家粮食安徽交易中心）按照“公开、公平、公正”的原则组织本次交易，参加交易的各方必须遵守本细则。 </w:t>
      </w:r>
    </w:p>
    <w:p w14:paraId="682AFA0E">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第二章 交易准备</w:t>
      </w:r>
    </w:p>
    <w:p w14:paraId="3D18408B">
      <w:pPr>
        <w:spacing w:line="560" w:lineRule="exact"/>
        <w:ind w:firstLine="600" w:firstLineChars="200"/>
        <w:rPr>
          <w:rFonts w:ascii="仿宋_GB2312" w:eastAsia="仿宋_GB2312"/>
          <w:sz w:val="30"/>
        </w:rPr>
      </w:pPr>
      <w:r>
        <w:rPr>
          <w:rFonts w:hint="eastAsia" w:ascii="黑体" w:eastAsia="黑体"/>
          <w:sz w:val="30"/>
        </w:rPr>
        <w:t xml:space="preserve">第四条 </w:t>
      </w:r>
      <w:r>
        <w:rPr>
          <w:rFonts w:hint="eastAsia" w:ascii="仿宋_GB2312" w:eastAsia="仿宋_GB2312"/>
          <w:sz w:val="30"/>
        </w:rPr>
        <w:t xml:space="preserve"> 委托方须向安徽省粮食和物资储备保障中心（国家粮食安徽交易中心）提供《竞价交易委托书》、竞价交易清单、粮食质量指标等相关文件并缴纳保证金。</w:t>
      </w:r>
    </w:p>
    <w:p w14:paraId="37FA4925">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第五条 </w:t>
      </w:r>
      <w:r>
        <w:rPr>
          <w:rFonts w:hint="eastAsia" w:ascii="仿宋_GB2312" w:eastAsia="仿宋_GB2312"/>
          <w:sz w:val="30"/>
          <w:szCs w:val="30"/>
        </w:rPr>
        <w:t>参加交易的交易客户须交验企业营业执照副本及复印件、法定代表人签字并加盖单位公章的《交易授权书》、法人身份证复印件、交易代表身份证原件及复印件、单位公章或合同专用章。</w:t>
      </w:r>
    </w:p>
    <w:p w14:paraId="5F227CC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委托方和参加交易的会员须预交保证金110元/吨，（含采购交易保证金5元/吨、采购履约保证金50元/吨，销售交易保证金5元/吨、销售履约保证金50元/吨），付款时应注明交易会名称并向安徽省粮食和物资储备保障中心（国家粮食安徽交易中心）进行确认，保证金不足者不能继续交易。</w:t>
      </w:r>
    </w:p>
    <w:p w14:paraId="4D2C87C6">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安徽省粮食和物资储备保障中心（国家粮食安徽交易中心）保证金及结算账户：</w:t>
      </w:r>
    </w:p>
    <w:p w14:paraId="59DC921C">
      <w:pPr>
        <w:adjustRightInd w:val="0"/>
        <w:snapToGrid w:val="0"/>
        <w:spacing w:line="560" w:lineRule="exact"/>
        <w:ind w:firstLine="450" w:firstLineChars="150"/>
        <w:rPr>
          <w:rFonts w:ascii="仿宋_GB2312" w:eastAsia="仿宋_GB2312"/>
          <w:sz w:val="30"/>
          <w:szCs w:val="30"/>
        </w:rPr>
      </w:pPr>
      <w:r>
        <w:rPr>
          <w:rFonts w:hint="eastAsia" w:ascii="仿宋_GB2312" w:eastAsia="仿宋_GB2312"/>
          <w:sz w:val="30"/>
          <w:szCs w:val="30"/>
        </w:rPr>
        <w:t xml:space="preserve"> 单位名称：安徽省粮食和物资储备保障中心</w:t>
      </w:r>
    </w:p>
    <w:p w14:paraId="3158C569">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 xml:space="preserve">开户银行：中国农业发展银行合肥市金寨路支行  </w:t>
      </w:r>
    </w:p>
    <w:p w14:paraId="6194C2BC">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 2033 4140 0101 0000 0260 831</w:t>
      </w:r>
    </w:p>
    <w:p w14:paraId="3BA18892">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开户银行：徽商银行合肥新华支行</w:t>
      </w:r>
    </w:p>
    <w:p w14:paraId="4AD97525">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账    号：5200 5068 3601 0000 02</w:t>
      </w:r>
    </w:p>
    <w:p w14:paraId="0382DDFF">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第六条 </w:t>
      </w:r>
      <w:r>
        <w:rPr>
          <w:rFonts w:hint="eastAsia" w:ascii="仿宋_GB2312" w:eastAsia="仿宋_GB2312"/>
          <w:sz w:val="30"/>
          <w:szCs w:val="30"/>
        </w:rPr>
        <w:t>交易客户通过资格审核并交纳保证金后，安徽省粮食和物资储备保障中心（国家粮食安徽交易中心）向其发放交易代码、密码等相关资料。交易代码、密码等相关资料为交易客户的资格凭证，属交易客户的商业机密，须妥善保管，如丢失或泄露责任自负。</w:t>
      </w:r>
    </w:p>
    <w:p w14:paraId="1EA51A61">
      <w:pPr>
        <w:adjustRightInd w:val="0"/>
        <w:snapToGrid w:val="0"/>
        <w:spacing w:line="560" w:lineRule="exact"/>
        <w:ind w:firstLine="600" w:firstLineChars="200"/>
        <w:rPr>
          <w:rFonts w:ascii="仿宋_GB2312" w:eastAsia="仿宋_GB2312"/>
          <w:sz w:val="30"/>
          <w:szCs w:val="30"/>
        </w:rPr>
      </w:pPr>
      <w:r>
        <w:rPr>
          <w:rFonts w:hint="eastAsia" w:ascii="黑体" w:eastAsia="黑体"/>
          <w:sz w:val="30"/>
        </w:rPr>
        <w:t xml:space="preserve">第七条 </w:t>
      </w:r>
      <w:r>
        <w:rPr>
          <w:rFonts w:hint="eastAsia" w:ascii="仿宋_GB2312" w:eastAsia="仿宋_GB2312"/>
          <w:sz w:val="30"/>
          <w:szCs w:val="30"/>
        </w:rPr>
        <w:t>安徽省粮食和物资储备保障中心（国家粮食安徽交易中心）在中国粮食网（</w:t>
      </w:r>
      <w:r>
        <w:fldChar w:fldCharType="begin"/>
      </w:r>
      <w:r>
        <w:instrText xml:space="preserve"> HYPERLINK "http://www.cereal.com.cn/" </w:instrText>
      </w:r>
      <w:r>
        <w:fldChar w:fldCharType="separate"/>
      </w:r>
      <w:r>
        <w:rPr>
          <w:rStyle w:val="10"/>
          <w:rFonts w:hint="eastAsia" w:ascii="仿宋_GB2312" w:eastAsia="仿宋_GB2312"/>
          <w:color w:val="auto"/>
          <w:sz w:val="30"/>
          <w:szCs w:val="30"/>
        </w:rPr>
        <w:t>www.cereal.com.cn</w:t>
      </w:r>
      <w:r>
        <w:rPr>
          <w:rStyle w:val="10"/>
          <w:rFonts w:hint="eastAsia" w:ascii="仿宋_GB2312" w:eastAsia="仿宋_GB2312"/>
          <w:color w:val="auto"/>
          <w:sz w:val="30"/>
          <w:szCs w:val="30"/>
        </w:rPr>
        <w:fldChar w:fldCharType="end"/>
      </w:r>
      <w:r>
        <w:rPr>
          <w:rFonts w:hint="eastAsia" w:ascii="仿宋_GB2312" w:eastAsia="仿宋_GB2312"/>
          <w:sz w:val="30"/>
          <w:szCs w:val="30"/>
        </w:rPr>
        <w:t xml:space="preserve">）或交易大厅公告交易的相关信息，交易客户应及时了解。 </w:t>
      </w:r>
    </w:p>
    <w:p w14:paraId="32EF223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第三章 交易地点、时间</w:t>
      </w:r>
    </w:p>
    <w:p w14:paraId="65904506">
      <w:pPr>
        <w:adjustRightInd w:val="0"/>
        <w:snapToGrid w:val="0"/>
        <w:spacing w:line="560" w:lineRule="exact"/>
        <w:ind w:firstLine="600"/>
        <w:rPr>
          <w:rFonts w:ascii="仿宋_GB2312" w:eastAsia="仿宋_GB2312"/>
          <w:sz w:val="30"/>
          <w:szCs w:val="30"/>
        </w:rPr>
      </w:pPr>
      <w:r>
        <w:rPr>
          <w:rFonts w:hint="eastAsia" w:ascii="黑体" w:eastAsia="黑体"/>
          <w:sz w:val="30"/>
        </w:rPr>
        <w:t>第八条</w:t>
      </w:r>
      <w:r>
        <w:rPr>
          <w:rFonts w:hint="eastAsia" w:ascii="仿宋_GB2312" w:eastAsia="仿宋_GB2312"/>
          <w:sz w:val="30"/>
          <w:szCs w:val="30"/>
        </w:rPr>
        <w:t xml:space="preserve"> 现场交易地点：安徽省合肥市芜湖路319号良苑大厦三楼交易大厅，参加交易的会员企业也可以通过网上直接参加交易。</w:t>
      </w:r>
    </w:p>
    <w:p w14:paraId="58922A60">
      <w:pPr>
        <w:adjustRightInd w:val="0"/>
        <w:snapToGrid w:val="0"/>
        <w:spacing w:line="560" w:lineRule="exact"/>
        <w:ind w:firstLine="600"/>
        <w:rPr>
          <w:rFonts w:ascii="仿宋_GB2312" w:eastAsia="仿宋_GB2312"/>
          <w:sz w:val="30"/>
          <w:szCs w:val="30"/>
        </w:rPr>
      </w:pPr>
      <w:r>
        <w:rPr>
          <w:rFonts w:hint="eastAsia" w:ascii="黑体" w:eastAsia="黑体"/>
          <w:sz w:val="30"/>
        </w:rPr>
        <w:t>第九条</w:t>
      </w:r>
      <w:r>
        <w:rPr>
          <w:rFonts w:hint="eastAsia" w:ascii="仿宋_GB2312" w:eastAsia="仿宋_GB2312"/>
          <w:sz w:val="30"/>
          <w:szCs w:val="30"/>
        </w:rPr>
        <w:t xml:space="preserve"> 交易时间按安徽省粮食和物资储备保障中心（国家粮食安徽交易中心）公告时间进行。</w:t>
      </w:r>
    </w:p>
    <w:p w14:paraId="27482C20">
      <w:pPr>
        <w:adjustRightInd w:val="0"/>
        <w:snapToGrid w:val="0"/>
        <w:spacing w:line="560" w:lineRule="exact"/>
        <w:ind w:firstLine="600"/>
        <w:rPr>
          <w:rFonts w:ascii="仿宋_GB2312" w:eastAsia="仿宋_GB2312"/>
          <w:sz w:val="30"/>
          <w:szCs w:val="30"/>
        </w:rPr>
      </w:pPr>
      <w:r>
        <w:rPr>
          <w:rFonts w:hint="eastAsia" w:ascii="黑体" w:eastAsia="黑体"/>
          <w:sz w:val="30"/>
        </w:rPr>
        <w:t>第十条</w:t>
      </w:r>
      <w:r>
        <w:rPr>
          <w:rFonts w:hint="eastAsia" w:ascii="仿宋_GB2312" w:eastAsia="仿宋_GB2312"/>
          <w:sz w:val="30"/>
          <w:szCs w:val="30"/>
        </w:rPr>
        <w:t xml:space="preserve"> 安徽省粮食和物资储备保障中心（国家粮食安徽交易中心）将根据交易的规模，允许交易客户派出1－2名交易代表入场交易，交易代表凭交易入场券提前入场，做好交易准备。</w:t>
      </w:r>
    </w:p>
    <w:p w14:paraId="7F8AA89F">
      <w:pPr>
        <w:adjustRightInd w:val="0"/>
        <w:snapToGrid w:val="0"/>
        <w:spacing w:line="560" w:lineRule="exact"/>
        <w:ind w:firstLine="600"/>
        <w:rPr>
          <w:rFonts w:ascii="仿宋_GB2312" w:eastAsia="仿宋_GB2312"/>
          <w:sz w:val="30"/>
          <w:szCs w:val="30"/>
        </w:rPr>
      </w:pPr>
      <w:r>
        <w:rPr>
          <w:rFonts w:hint="eastAsia" w:ascii="黑体" w:eastAsia="黑体"/>
          <w:sz w:val="30"/>
        </w:rPr>
        <w:t>第十一条</w:t>
      </w:r>
      <w:r>
        <w:rPr>
          <w:rFonts w:hint="eastAsia" w:ascii="仿宋_GB2312" w:eastAsia="仿宋_GB2312"/>
          <w:sz w:val="30"/>
          <w:szCs w:val="30"/>
        </w:rPr>
        <w:t xml:space="preserve"> 交易时间如有变更，安徽省粮食和物资储备保障中心（国家粮食安徽交易中心）将提前公告。</w:t>
      </w:r>
    </w:p>
    <w:p w14:paraId="642710B9">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第四章 交易秩序</w:t>
      </w:r>
    </w:p>
    <w:p w14:paraId="1FCED849">
      <w:pPr>
        <w:adjustRightInd w:val="0"/>
        <w:snapToGrid w:val="0"/>
        <w:spacing w:line="560" w:lineRule="exact"/>
        <w:ind w:firstLine="600"/>
        <w:rPr>
          <w:rFonts w:ascii="仿宋_GB2312" w:eastAsia="仿宋_GB2312"/>
          <w:sz w:val="30"/>
          <w:szCs w:val="30"/>
        </w:rPr>
      </w:pPr>
      <w:r>
        <w:rPr>
          <w:rFonts w:hint="eastAsia" w:ascii="黑体" w:eastAsia="黑体"/>
          <w:sz w:val="30"/>
        </w:rPr>
        <w:t xml:space="preserve">第十二条 </w:t>
      </w:r>
      <w:r>
        <w:rPr>
          <w:rFonts w:hint="eastAsia" w:ascii="仿宋_GB2312" w:eastAsia="仿宋_GB2312"/>
          <w:sz w:val="30"/>
          <w:szCs w:val="30"/>
        </w:rPr>
        <w:t>交易活动必须按照安徽省粮食和物资储备保障中心（国家粮食安徽交易中心）确定的交易方式、交易程序进行。安徽省粮食和物资储备保障中心（国家粮食安徽交易中心）有权根据现场情况进行调整，但应按本细则第七条所列方式进行公告。</w:t>
      </w:r>
    </w:p>
    <w:p w14:paraId="649E3844">
      <w:pPr>
        <w:adjustRightInd w:val="0"/>
        <w:snapToGrid w:val="0"/>
        <w:spacing w:line="560" w:lineRule="exact"/>
        <w:ind w:firstLine="600"/>
        <w:rPr>
          <w:rFonts w:ascii="仿宋_GB2312" w:eastAsia="仿宋_GB2312"/>
          <w:sz w:val="30"/>
          <w:szCs w:val="30"/>
        </w:rPr>
      </w:pPr>
      <w:r>
        <w:rPr>
          <w:rFonts w:hint="eastAsia" w:ascii="黑体" w:eastAsia="黑体"/>
          <w:sz w:val="30"/>
        </w:rPr>
        <w:t>第十三条</w:t>
      </w:r>
      <w:r>
        <w:rPr>
          <w:rFonts w:hint="eastAsia" w:ascii="仿宋_GB2312" w:eastAsia="仿宋_GB2312"/>
          <w:sz w:val="30"/>
          <w:szCs w:val="30"/>
        </w:rPr>
        <w:t xml:space="preserve"> 禁止恶意串通交易价格等损害他人利益的一切行为。对严重扰乱交易秩序的人员，安徽省粮食和物资储备保障中心（国家粮食安徽交易中心）有权取消其交易资格并责令其离场。</w:t>
      </w:r>
    </w:p>
    <w:p w14:paraId="2B6663ED">
      <w:pPr>
        <w:adjustRightInd w:val="0"/>
        <w:snapToGrid w:val="0"/>
        <w:spacing w:line="560" w:lineRule="exact"/>
        <w:ind w:firstLine="600"/>
        <w:rPr>
          <w:rFonts w:ascii="仿宋_GB2312" w:eastAsia="仿宋_GB2312"/>
          <w:sz w:val="30"/>
          <w:szCs w:val="30"/>
        </w:rPr>
      </w:pPr>
      <w:r>
        <w:rPr>
          <w:rFonts w:hint="eastAsia" w:ascii="黑体" w:eastAsia="黑体"/>
          <w:sz w:val="30"/>
        </w:rPr>
        <w:t>第十四条</w:t>
      </w:r>
      <w:r>
        <w:rPr>
          <w:rFonts w:hint="eastAsia" w:ascii="仿宋_GB2312" w:eastAsia="仿宋_GB2312"/>
          <w:sz w:val="30"/>
          <w:szCs w:val="30"/>
        </w:rPr>
        <w:t xml:space="preserve"> 交易大厅内禁止吸烟、打电话和大声喧哗。进场人员应爱护交易设备、设施，自觉维护场内秩序，服从工作人员指挥。</w:t>
      </w:r>
    </w:p>
    <w:p w14:paraId="41A9F4B4">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第五章 交易程序</w:t>
      </w:r>
    </w:p>
    <w:p w14:paraId="01987866">
      <w:pPr>
        <w:pStyle w:val="4"/>
        <w:shd w:val="clear" w:color="auto" w:fill="FFFFFF"/>
        <w:spacing w:before="0" w:beforeAutospacing="0" w:after="0" w:afterAutospacing="0"/>
        <w:ind w:firstLine="480"/>
        <w:rPr>
          <w:rFonts w:hint="eastAsia" w:ascii="仿宋_GB2312" w:hAnsi="Times New Roman" w:eastAsia="仿宋_GB2312" w:cs="Times New Roman"/>
          <w:kern w:val="2"/>
          <w:sz w:val="30"/>
          <w:szCs w:val="30"/>
          <w:lang w:val="en-US" w:eastAsia="zh-CN" w:bidi="ar-SA"/>
        </w:rPr>
      </w:pPr>
      <w:r>
        <w:rPr>
          <w:rFonts w:hint="eastAsia" w:ascii="黑体" w:eastAsia="黑体"/>
          <w:sz w:val="30"/>
        </w:rPr>
        <w:t>第十五条</w:t>
      </w:r>
      <w:r>
        <w:rPr>
          <w:rFonts w:hint="eastAsia" w:ascii="黑体" w:eastAsia="黑体"/>
          <w:sz w:val="30"/>
          <w:lang w:val="en-US" w:eastAsia="zh-CN"/>
        </w:rPr>
        <w:t xml:space="preserve"> </w:t>
      </w:r>
      <w:r>
        <w:rPr>
          <w:rFonts w:hint="eastAsia" w:ascii="仿宋_GB2312" w:hAnsi="Times New Roman" w:eastAsia="仿宋_GB2312" w:cs="Times New Roman"/>
          <w:kern w:val="2"/>
          <w:sz w:val="30"/>
          <w:szCs w:val="30"/>
          <w:lang w:val="en-US" w:eastAsia="zh-CN" w:bidi="ar-SA"/>
        </w:rPr>
        <w:t>采购质量符合国标二等及以上标准。</w:t>
      </w:r>
      <w:bookmarkStart w:id="0" w:name="_GoBack"/>
      <w:bookmarkEnd w:id="0"/>
    </w:p>
    <w:p w14:paraId="550819F8">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成交后双方须签订《晚籼稻谷购销合同》,有意向参加本次交易的会员应首先向委托方了解并同意《晚籼稻谷购销合同》内容后再参加本次交易，否则视同认可协议内容。中标法人企业须在中信银行开设账户。</w:t>
      </w:r>
    </w:p>
    <w:p w14:paraId="6B740BC7">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本次交易按照“购销统一、锁定采购价、竞拍销售价”的方式进行，对销售标的进行竞价，售价高者中标。</w:t>
      </w:r>
    </w:p>
    <w:p w14:paraId="2D020A55">
      <w:pPr>
        <w:adjustRightInd w:val="0"/>
        <w:snapToGrid w:val="0"/>
        <w:spacing w:line="560" w:lineRule="exact"/>
        <w:ind w:firstLine="600"/>
        <w:rPr>
          <w:rFonts w:ascii="仿宋_GB2312" w:eastAsia="仿宋_GB2312"/>
          <w:sz w:val="30"/>
          <w:szCs w:val="30"/>
        </w:rPr>
      </w:pPr>
      <w:r>
        <w:rPr>
          <w:rFonts w:hint="eastAsia" w:ascii="仿宋_GB2312" w:eastAsia="仿宋_GB2312"/>
          <w:sz w:val="30"/>
          <w:szCs w:val="30"/>
        </w:rPr>
        <w:t>采购标的报价为买方仓口价，仓口汽车板散装交货。销售标的报价为卖方仓口价，仓口汽车板散装交货。</w:t>
      </w:r>
    </w:p>
    <w:p w14:paraId="0232B208">
      <w:pPr>
        <w:adjustRightInd w:val="0"/>
        <w:snapToGrid w:val="0"/>
        <w:spacing w:line="560" w:lineRule="exact"/>
        <w:ind w:firstLine="600"/>
        <w:rPr>
          <w:rFonts w:ascii="仿宋_GB2312" w:eastAsia="仿宋_GB2312"/>
          <w:sz w:val="30"/>
        </w:rPr>
      </w:pPr>
      <w:r>
        <w:rPr>
          <w:rFonts w:hint="eastAsia" w:ascii="黑体" w:eastAsia="黑体"/>
          <w:sz w:val="30"/>
        </w:rPr>
        <w:t xml:space="preserve">第十六条 </w:t>
      </w:r>
      <w:r>
        <w:rPr>
          <w:rFonts w:hint="eastAsia" w:ascii="仿宋_GB2312" w:eastAsia="仿宋_GB2312"/>
          <w:sz w:val="30"/>
          <w:szCs w:val="30"/>
        </w:rPr>
        <w:t xml:space="preserve"> 本次交易活动，采取现场及网上计算机竞价的方式进行。竞价交易按委托标的</w:t>
      </w:r>
      <w:r>
        <w:rPr>
          <w:rFonts w:hint="eastAsia" w:ascii="仿宋_GB2312" w:eastAsia="仿宋_GB2312"/>
          <w:sz w:val="30"/>
        </w:rPr>
        <w:t>序号顺序，依次按交易节进行。</w:t>
      </w:r>
    </w:p>
    <w:p w14:paraId="44781E83">
      <w:pPr>
        <w:spacing w:line="560" w:lineRule="exact"/>
        <w:ind w:firstLine="600" w:firstLineChars="200"/>
        <w:rPr>
          <w:rFonts w:ascii="仿宋_GB2312" w:hAnsi="宋体" w:eastAsia="仿宋_GB2312"/>
          <w:b w:val="0"/>
          <w:bCs/>
          <w:sz w:val="30"/>
          <w:szCs w:val="30"/>
        </w:rPr>
      </w:pPr>
      <w:r>
        <w:rPr>
          <w:rFonts w:hint="eastAsia" w:ascii="黑体" w:eastAsia="黑体"/>
          <w:sz w:val="30"/>
        </w:rPr>
        <w:t>第十七条</w:t>
      </w:r>
      <w:r>
        <w:rPr>
          <w:rFonts w:hint="eastAsia" w:ascii="仿宋_GB2312" w:eastAsia="仿宋_GB2312"/>
          <w:sz w:val="30"/>
          <w:szCs w:val="30"/>
        </w:rPr>
        <w:t xml:space="preserve"> </w:t>
      </w:r>
      <w:r>
        <w:rPr>
          <w:rFonts w:hint="eastAsia" w:ascii="仿宋_GB2312" w:hAnsi="宋体" w:eastAsia="仿宋_GB2312"/>
          <w:sz w:val="30"/>
          <w:szCs w:val="30"/>
        </w:rPr>
        <w:t>开市后，竞买人利用计算机按交易节逐节进行交易。每笔交易从标底价开始报价</w:t>
      </w:r>
      <w:r>
        <w:rPr>
          <w:rFonts w:hint="eastAsia" w:ascii="仿宋_GB2312" w:hAnsi="宋体" w:eastAsia="仿宋_GB2312"/>
          <w:b w:val="0"/>
          <w:bCs w:val="0"/>
          <w:sz w:val="30"/>
          <w:szCs w:val="30"/>
          <w:lang w:eastAsia="zh-CN"/>
        </w:rPr>
        <w:t>，</w:t>
      </w:r>
      <w:r>
        <w:rPr>
          <w:rFonts w:hint="eastAsia" w:ascii="仿宋_GB2312" w:hAnsi="宋体" w:eastAsia="仿宋_GB2312"/>
          <w:b w:val="0"/>
          <w:bCs/>
          <w:sz w:val="30"/>
          <w:szCs w:val="30"/>
        </w:rPr>
        <w:t>并按每吨5元的价位递增报价。</w:t>
      </w:r>
    </w:p>
    <w:p w14:paraId="1A2384B7">
      <w:pPr>
        <w:spacing w:line="560" w:lineRule="exact"/>
        <w:ind w:firstLine="600" w:firstLineChars="200"/>
        <w:rPr>
          <w:rFonts w:ascii="仿宋_GB2312" w:eastAsia="仿宋_GB2312"/>
          <w:sz w:val="30"/>
        </w:rPr>
      </w:pPr>
      <w:r>
        <w:rPr>
          <w:rFonts w:hint="eastAsia" w:ascii="黑体" w:eastAsia="黑体"/>
          <w:sz w:val="30"/>
        </w:rPr>
        <w:t>第十八条</w:t>
      </w:r>
      <w:r>
        <w:rPr>
          <w:rFonts w:hint="eastAsia" w:ascii="仿宋_GB2312" w:eastAsia="仿宋_GB2312"/>
          <w:sz w:val="30"/>
        </w:rPr>
        <w:t xml:space="preserve">  在标底价位上无人应价时，即撤销该笔交易。</w:t>
      </w:r>
    </w:p>
    <w:p w14:paraId="2517266D">
      <w:pPr>
        <w:spacing w:line="560" w:lineRule="exact"/>
        <w:ind w:firstLine="600" w:firstLineChars="200"/>
        <w:rPr>
          <w:rFonts w:ascii="仿宋_GB2312" w:eastAsia="仿宋_GB2312"/>
          <w:sz w:val="30"/>
        </w:rPr>
      </w:pPr>
      <w:r>
        <w:rPr>
          <w:rFonts w:hint="eastAsia" w:ascii="黑体" w:eastAsia="黑体"/>
          <w:sz w:val="30"/>
        </w:rPr>
        <w:t>第十九条</w:t>
      </w:r>
      <w:r>
        <w:rPr>
          <w:rFonts w:hint="eastAsia" w:ascii="仿宋_GB2312" w:eastAsia="仿宋_GB2312"/>
          <w:sz w:val="30"/>
        </w:rPr>
        <w:t xml:space="preserve">  竞买人应点击计算机报价，竞价数量已超过预交保证金所能购买数量的不可再参加竞价。</w:t>
      </w:r>
    </w:p>
    <w:p w14:paraId="5B3C79A4">
      <w:pPr>
        <w:spacing w:line="560" w:lineRule="exact"/>
        <w:ind w:firstLine="600" w:firstLineChars="200"/>
        <w:rPr>
          <w:rFonts w:ascii="仿宋_GB2312" w:hAnsi="宋体"/>
          <w:color w:val="000000"/>
          <w:sz w:val="30"/>
          <w:szCs w:val="30"/>
          <w:lang w:val="zh-CN"/>
        </w:rPr>
      </w:pPr>
      <w:r>
        <w:rPr>
          <w:rFonts w:hint="eastAsia" w:ascii="黑体" w:eastAsia="黑体"/>
          <w:sz w:val="30"/>
        </w:rPr>
        <w:t>第二十条</w:t>
      </w:r>
      <w:r>
        <w:rPr>
          <w:rFonts w:hint="eastAsia" w:ascii="仿宋_GB2312" w:eastAsia="仿宋_GB2312"/>
          <w:sz w:val="30"/>
        </w:rPr>
        <w:t xml:space="preserve">  竞买人一经应价，不得撤回。</w:t>
      </w:r>
    </w:p>
    <w:p w14:paraId="51EAD58F">
      <w:pPr>
        <w:spacing w:line="560" w:lineRule="exact"/>
        <w:ind w:firstLine="600" w:firstLineChars="200"/>
        <w:rPr>
          <w:rFonts w:ascii="仿宋_GB2312" w:eastAsia="仿宋_GB2312"/>
          <w:sz w:val="30"/>
        </w:rPr>
      </w:pPr>
      <w:r>
        <w:rPr>
          <w:rFonts w:hint="eastAsia" w:ascii="黑体" w:eastAsia="黑体"/>
          <w:sz w:val="30"/>
        </w:rPr>
        <w:t xml:space="preserve">第二十一条  </w:t>
      </w:r>
      <w:r>
        <w:rPr>
          <w:rFonts w:hint="eastAsia" w:ascii="仿宋_GB2312" w:eastAsia="仿宋_GB2312"/>
          <w:sz w:val="30"/>
        </w:rPr>
        <w:t>竞买人在新价位应价并被系统确认后，前一价位的应价自动失效。竞买人报价后，在规定的时间内如无其它竞买人以更高的价格报价，则以该报价为标的的成交价，该竞买人为标的的中标方。</w:t>
      </w:r>
    </w:p>
    <w:p w14:paraId="1CFC44D3">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第二十二条</w:t>
      </w:r>
      <w:r>
        <w:rPr>
          <w:rFonts w:hint="eastAsia" w:ascii="仿宋_GB2312" w:eastAsia="仿宋_GB2312"/>
          <w:sz w:val="30"/>
        </w:rPr>
        <w:t xml:space="preserve"> </w:t>
      </w:r>
      <w:r>
        <w:rPr>
          <w:rFonts w:hint="eastAsia" w:ascii="仿宋_GB2312" w:eastAsia="仿宋_GB2312"/>
          <w:kern w:val="2"/>
          <w:sz w:val="30"/>
          <w:szCs w:val="30"/>
        </w:rPr>
        <w:t xml:space="preserve"> 本次交易结束后三日内，中标方需及时与委托方签订线下《晚籼稻谷购销合同》协议，三日内不签订线下合同按违约处理。</w:t>
      </w:r>
    </w:p>
    <w:p w14:paraId="57033386">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第六章 交割和结算</w:t>
      </w:r>
    </w:p>
    <w:p w14:paraId="43C7589B">
      <w:pPr>
        <w:adjustRightInd w:val="0"/>
        <w:snapToGrid w:val="0"/>
        <w:spacing w:line="560" w:lineRule="exact"/>
        <w:ind w:firstLine="600"/>
        <w:rPr>
          <w:rFonts w:ascii="仿宋_GB2312" w:eastAsia="仿宋_GB2312"/>
          <w:sz w:val="30"/>
          <w:szCs w:val="30"/>
        </w:rPr>
      </w:pPr>
      <w:r>
        <w:rPr>
          <w:rFonts w:hint="eastAsia" w:ascii="黑体" w:eastAsia="黑体"/>
          <w:kern w:val="0"/>
          <w:sz w:val="30"/>
          <w:szCs w:val="20"/>
        </w:rPr>
        <w:t xml:space="preserve">第二十三条 </w:t>
      </w:r>
      <w:r>
        <w:rPr>
          <w:rFonts w:hint="eastAsia" w:ascii="仿宋_GB2312" w:eastAsia="仿宋_GB2312"/>
          <w:sz w:val="30"/>
          <w:szCs w:val="30"/>
        </w:rPr>
        <w:t>交易双方应严格履行合同规定的责任义务，并享受合同规定的权利。</w:t>
      </w:r>
    </w:p>
    <w:p w14:paraId="3600F18E">
      <w:pPr>
        <w:pStyle w:val="4"/>
        <w:wordWrap w:val="0"/>
        <w:spacing w:line="480" w:lineRule="auto"/>
        <w:ind w:firstLine="600" w:firstLineChars="200"/>
        <w:rPr>
          <w:rFonts w:ascii="仿宋_GB2312" w:eastAsia="仿宋_GB2312"/>
          <w:kern w:val="2"/>
          <w:sz w:val="30"/>
          <w:szCs w:val="30"/>
        </w:rPr>
      </w:pPr>
      <w:r>
        <w:rPr>
          <w:rFonts w:hint="eastAsia" w:ascii="黑体" w:eastAsia="黑体"/>
          <w:sz w:val="30"/>
        </w:rPr>
        <w:t xml:space="preserve">第二十四条 </w:t>
      </w:r>
      <w:r>
        <w:rPr>
          <w:rFonts w:hint="eastAsia" w:ascii="仿宋_GB2312" w:eastAsia="仿宋_GB2312"/>
          <w:kern w:val="2"/>
          <w:sz w:val="30"/>
          <w:szCs w:val="30"/>
        </w:rPr>
        <w:t>本批晚籼稻谷的履约时间（采购、销售）按《晚籼稻谷购销合同》内约定日期执行。</w:t>
      </w:r>
    </w:p>
    <w:p w14:paraId="5C289D2C">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第二十五条 </w:t>
      </w:r>
      <w:r>
        <w:rPr>
          <w:rFonts w:hint="eastAsia" w:ascii="仿宋_GB2312" w:eastAsia="仿宋_GB2312"/>
          <w:sz w:val="30"/>
          <w:szCs w:val="30"/>
        </w:rPr>
        <w:t>成交签订合同后，交易双方应及时协商出入库事宜。承储库点应积极配合，共同完成交割工作。</w:t>
      </w:r>
    </w:p>
    <w:p w14:paraId="1C4F4E5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黑体" w:eastAsia="黑体"/>
          <w:kern w:val="0"/>
          <w:sz w:val="30"/>
          <w:szCs w:val="20"/>
        </w:rPr>
        <w:t xml:space="preserve">第二十六条 </w:t>
      </w:r>
      <w:r>
        <w:rPr>
          <w:rFonts w:hint="eastAsia" w:ascii="仿宋_GB2312" w:eastAsia="仿宋_GB2312"/>
          <w:sz w:val="30"/>
          <w:szCs w:val="30"/>
        </w:rPr>
        <w:t>稻谷出入库时交易双方共同进行检斤验质。销售标的质量以清单公示为准；数量以承储库点计量衡器为准，承储库计量衡器必须是经具有国家认可资质的技术监督部门鉴定合格的，且在鉴定的有效期内</w:t>
      </w:r>
      <w:r>
        <w:rPr>
          <w:rFonts w:hint="eastAsia" w:ascii="仿宋_GB2312" w:hAnsi="Times New Roman" w:eastAsia="仿宋_GB2312" w:cs="Times New Roman"/>
          <w:sz w:val="30"/>
          <w:szCs w:val="30"/>
        </w:rPr>
        <w:t>。</w:t>
      </w:r>
    </w:p>
    <w:p w14:paraId="5000DE2E">
      <w:pPr>
        <w:adjustRightInd w:val="0"/>
        <w:snapToGrid w:val="0"/>
        <w:spacing w:line="560" w:lineRule="exact"/>
        <w:ind w:firstLine="600" w:firstLineChars="200"/>
        <w:rPr>
          <w:rFonts w:hint="eastAsia" w:ascii="仿宋_GB2312" w:hAnsi="Times New Roman" w:eastAsia="仿宋_GB2312" w:cs="Times New Roman"/>
          <w:sz w:val="30"/>
          <w:szCs w:val="30"/>
        </w:rPr>
      </w:pPr>
      <w:r>
        <w:rPr>
          <w:rFonts w:hint="eastAsia" w:ascii="仿宋_GB2312" w:hAnsi="Times New Roman" w:eastAsia="仿宋_GB2312" w:cs="Times New Roman"/>
          <w:sz w:val="30"/>
          <w:szCs w:val="30"/>
        </w:rPr>
        <w:t>水分、杂质等指标超过或低于国家标准的，按照国家发展改革委、国家粮食局、财政部、国家市监总局联合印发的《关于执行粮食质量国家标准有关问题的规定》（国粮标〔2024〕198号）有关规定进行增扣量。</w:t>
      </w:r>
    </w:p>
    <w:p w14:paraId="500E6168">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第二十七条  </w:t>
      </w:r>
      <w:r>
        <w:rPr>
          <w:rFonts w:hint="eastAsia" w:ascii="仿宋_GB2312" w:eastAsia="仿宋_GB2312"/>
          <w:sz w:val="30"/>
          <w:szCs w:val="30"/>
        </w:rPr>
        <w:t>本次交易双方自行结算，且双方互相提供发票。</w:t>
      </w:r>
    </w:p>
    <w:p w14:paraId="40183FFA">
      <w:pPr>
        <w:adjustRightInd w:val="0"/>
        <w:snapToGrid w:val="0"/>
        <w:spacing w:line="560" w:lineRule="exact"/>
        <w:ind w:firstLine="600" w:firstLineChars="200"/>
        <w:rPr>
          <w:rFonts w:ascii="仿宋_GB2312" w:eastAsia="仿宋_GB2312"/>
          <w:sz w:val="30"/>
          <w:szCs w:val="30"/>
        </w:rPr>
      </w:pPr>
      <w:r>
        <w:rPr>
          <w:rFonts w:hint="eastAsia" w:ascii="仿宋_GB2312" w:eastAsia="仿宋_GB2312"/>
          <w:sz w:val="30"/>
          <w:szCs w:val="30"/>
        </w:rPr>
        <w:t>合同执行完成，根据国家有关政策规定开具正式发票交给对方后，双方签署统一格式的《验收确认单》一式三份，双方各持一份，另一份交安徽省粮食和物资储备保障中心（国家粮食安徽交易中心）作为结算依据，安徽省粮食和物资储备保障中心（国家粮食安徽交易中心）</w:t>
      </w:r>
      <w:r>
        <w:rPr>
          <w:rFonts w:hint="eastAsia" w:ascii="仿宋_GB2312" w:eastAsia="仿宋_GB2312"/>
          <w:sz w:val="30"/>
        </w:rPr>
        <w:t>根据买卖双方签署的《验收确认单》，扣除手续费及未履约部分的保证金后向拨付相应的货款，</w:t>
      </w:r>
      <w:r>
        <w:rPr>
          <w:rFonts w:hint="eastAsia" w:ascii="仿宋_GB2312" w:eastAsia="仿宋_GB2312"/>
          <w:sz w:val="30"/>
          <w:szCs w:val="30"/>
        </w:rPr>
        <w:t>该批货物交割完毕。</w:t>
      </w:r>
    </w:p>
    <w:p w14:paraId="22D37D67">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 xml:space="preserve">第二十八条 </w:t>
      </w:r>
      <w:r>
        <w:rPr>
          <w:rFonts w:hint="eastAsia" w:ascii="仿宋_GB2312" w:eastAsia="仿宋_GB2312"/>
          <w:sz w:val="30"/>
          <w:szCs w:val="30"/>
        </w:rPr>
        <w:t>交易客户如对数量、质量有异议，应停止接货并协商解决。协商不成的，3日内书面申请安徽省粮食和物资储备保障中心（国家粮食安徽交易中心）暨安徽农垦交易中心服务点调解。由安徽省粮食和物资储备保障中心（国家粮食安徽交易中心）组织有国家认可资质的粮油质检部门检斤、验质，所发生的费用由过错方承担。</w:t>
      </w:r>
    </w:p>
    <w:p w14:paraId="11C42FAD">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第二十九条</w:t>
      </w:r>
      <w:r>
        <w:rPr>
          <w:rFonts w:hint="eastAsia" w:ascii="仿宋_GB2312" w:eastAsia="仿宋_GB2312"/>
          <w:b/>
          <w:sz w:val="30"/>
          <w:szCs w:val="30"/>
        </w:rPr>
        <w:t xml:space="preserve"> </w:t>
      </w:r>
      <w:r>
        <w:rPr>
          <w:rFonts w:hint="eastAsia" w:ascii="仿宋_GB2312" w:eastAsia="仿宋_GB2312"/>
          <w:sz w:val="30"/>
          <w:szCs w:val="30"/>
        </w:rPr>
        <w:t>安徽省粮食和物资储备保障中心（国家粮食安徽交易中心）向中标方</w:t>
      </w:r>
      <w:r>
        <w:rPr>
          <w:rFonts w:hint="eastAsia" w:ascii="仿宋_GB2312" w:eastAsia="仿宋_GB2312"/>
          <w:b/>
          <w:sz w:val="30"/>
          <w:szCs w:val="30"/>
        </w:rPr>
        <w:t>按销售标的成交金额的</w:t>
      </w:r>
      <w:r>
        <w:rPr>
          <w:rFonts w:ascii="仿宋_GB2312" w:eastAsia="仿宋_GB2312"/>
          <w:sz w:val="30"/>
        </w:rPr>
        <w:t>0.8</w:t>
      </w:r>
      <w:r>
        <w:rPr>
          <w:rFonts w:hint="eastAsia" w:ascii="仿宋_GB2312" w:eastAsia="仿宋_GB2312"/>
          <w:sz w:val="30"/>
        </w:rPr>
        <w:t>‰收取手续费，</w:t>
      </w:r>
      <w:r>
        <w:rPr>
          <w:rFonts w:hint="eastAsia" w:ascii="仿宋_GB2312" w:eastAsia="仿宋_GB2312"/>
          <w:sz w:val="30"/>
          <w:szCs w:val="30"/>
        </w:rPr>
        <w:t>交易手续费从客户保证金中扣除。</w:t>
      </w:r>
    </w:p>
    <w:p w14:paraId="0EC4F2B9">
      <w:pPr>
        <w:spacing w:line="560" w:lineRule="exact"/>
        <w:ind w:firstLine="600" w:firstLineChars="200"/>
        <w:rPr>
          <w:rFonts w:ascii="仿宋_GB2312" w:eastAsia="仿宋_GB2312"/>
          <w:color w:val="000000"/>
          <w:sz w:val="30"/>
        </w:rPr>
      </w:pPr>
      <w:r>
        <w:rPr>
          <w:rFonts w:hint="eastAsia" w:ascii="黑体" w:eastAsia="黑体"/>
          <w:kern w:val="0"/>
          <w:sz w:val="30"/>
          <w:szCs w:val="20"/>
        </w:rPr>
        <w:t>第三十条</w:t>
      </w:r>
      <w:r>
        <w:rPr>
          <w:rFonts w:hint="eastAsia" w:ascii="仿宋_GB2312" w:eastAsia="仿宋_GB2312"/>
          <w:b/>
          <w:sz w:val="30"/>
          <w:szCs w:val="30"/>
        </w:rPr>
        <w:t xml:space="preserve"> </w:t>
      </w:r>
      <w:r>
        <w:rPr>
          <w:rFonts w:hint="eastAsia" w:ascii="黑体" w:eastAsia="黑体"/>
          <w:kern w:val="0"/>
          <w:sz w:val="30"/>
          <w:szCs w:val="20"/>
        </w:rPr>
        <w:t xml:space="preserve"> </w:t>
      </w:r>
      <w:r>
        <w:rPr>
          <w:rFonts w:hint="eastAsia" w:ascii="仿宋_GB2312" w:eastAsia="仿宋_GB2312"/>
          <w:color w:val="000000"/>
          <w:sz w:val="30"/>
        </w:rPr>
        <w:t>双方</w:t>
      </w:r>
      <w:r>
        <w:rPr>
          <w:rFonts w:hint="eastAsia" w:ascii="仿宋_GB2312" w:hAnsi="宋体" w:eastAsia="仿宋_GB2312"/>
          <w:color w:val="000000"/>
          <w:sz w:val="30"/>
          <w:szCs w:val="30"/>
          <w:lang w:val="zh-CN"/>
        </w:rPr>
        <w:t>预交的履约保证金，</w:t>
      </w:r>
      <w:r>
        <w:rPr>
          <w:rFonts w:hint="eastAsia" w:ascii="仿宋_GB2312" w:eastAsia="仿宋_GB2312"/>
          <w:color w:val="000000"/>
          <w:sz w:val="30"/>
        </w:rPr>
        <w:t>没有成交的，在交易会结束后，凭</w:t>
      </w:r>
      <w:r>
        <w:rPr>
          <w:rFonts w:hint="eastAsia" w:ascii="仿宋_GB2312" w:eastAsia="仿宋_GB2312"/>
          <w:sz w:val="30"/>
        </w:rPr>
        <w:t>相关手续</w:t>
      </w:r>
      <w:r>
        <w:rPr>
          <w:rFonts w:hint="eastAsia" w:ascii="仿宋_GB2312" w:eastAsia="仿宋_GB2312"/>
          <w:color w:val="000000"/>
          <w:sz w:val="30"/>
        </w:rPr>
        <w:t>，经</w:t>
      </w:r>
      <w:r>
        <w:rPr>
          <w:rFonts w:hint="eastAsia" w:ascii="仿宋_GB2312" w:eastAsia="仿宋_GB2312"/>
          <w:sz w:val="30"/>
        </w:rPr>
        <w:t>安徽省粮食和物资储备保障中心（国家粮食安徽交易中心）</w:t>
      </w:r>
      <w:r>
        <w:rPr>
          <w:rFonts w:hint="eastAsia" w:ascii="仿宋_GB2312" w:eastAsia="仿宋_GB2312"/>
          <w:color w:val="000000"/>
          <w:sz w:val="30"/>
        </w:rPr>
        <w:t>核实后，2个工作日内退回预交的履约保证金和交易保证金。</w:t>
      </w:r>
    </w:p>
    <w:p w14:paraId="14BA4F5C">
      <w:pPr>
        <w:spacing w:line="560" w:lineRule="exact"/>
        <w:ind w:firstLine="600" w:firstLineChars="200"/>
        <w:rPr>
          <w:rFonts w:ascii="仿宋_GB2312" w:eastAsia="仿宋_GB2312"/>
          <w:sz w:val="30"/>
        </w:rPr>
      </w:pPr>
      <w:r>
        <w:rPr>
          <w:rFonts w:hint="eastAsia" w:ascii="仿宋_GB2312" w:eastAsia="仿宋_GB2312"/>
          <w:sz w:val="30"/>
        </w:rPr>
        <w:t>双方凭</w:t>
      </w:r>
      <w:r>
        <w:rPr>
          <w:rFonts w:hint="eastAsia" w:ascii="仿宋_GB2312" w:eastAsia="仿宋_GB2312"/>
          <w:sz w:val="30"/>
          <w:szCs w:val="30"/>
        </w:rPr>
        <w:t>线下《晚籼稻谷购销合同》</w:t>
      </w:r>
      <w:r>
        <w:rPr>
          <w:rFonts w:hint="eastAsia" w:ascii="仿宋_GB2312" w:eastAsia="仿宋_GB2312"/>
          <w:sz w:val="30"/>
        </w:rPr>
        <w:t>向安徽省粮食和物资储备保障中心（国家粮食安徽交易中心）</w:t>
      </w:r>
      <w:r>
        <w:rPr>
          <w:rFonts w:hint="eastAsia" w:ascii="仿宋_GB2312" w:eastAsia="仿宋_GB2312"/>
          <w:color w:val="000000"/>
          <w:sz w:val="30"/>
        </w:rPr>
        <w:t>申请退回预交保证金。</w:t>
      </w:r>
    </w:p>
    <w:p w14:paraId="3882FCD5">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第七章 违约处罚</w:t>
      </w:r>
    </w:p>
    <w:p w14:paraId="70022EFF">
      <w:pPr>
        <w:spacing w:line="560" w:lineRule="exact"/>
        <w:ind w:firstLine="600" w:firstLineChars="200"/>
        <w:rPr>
          <w:rFonts w:ascii="仿宋_GB2312" w:hAnsi="宋体" w:eastAsia="仿宋_GB2312"/>
          <w:color w:val="000000"/>
          <w:sz w:val="30"/>
          <w:szCs w:val="30"/>
          <w:lang w:val="zh-CN"/>
        </w:rPr>
      </w:pPr>
      <w:r>
        <w:rPr>
          <w:rFonts w:hint="eastAsia" w:ascii="黑体" w:eastAsia="黑体"/>
          <w:kern w:val="0"/>
          <w:sz w:val="30"/>
          <w:szCs w:val="20"/>
        </w:rPr>
        <w:t>第三十一条</w:t>
      </w:r>
      <w:r>
        <w:rPr>
          <w:rFonts w:hint="eastAsia" w:ascii="仿宋_GB2312" w:eastAsia="仿宋_GB2312"/>
          <w:b/>
          <w:sz w:val="30"/>
          <w:szCs w:val="30"/>
        </w:rPr>
        <w:t xml:space="preserve"> </w:t>
      </w:r>
      <w:r>
        <w:rPr>
          <w:rFonts w:hint="eastAsia" w:ascii="仿宋_GB2312" w:eastAsia="仿宋_GB2312"/>
          <w:color w:val="000000"/>
          <w:sz w:val="30"/>
          <w:szCs w:val="30"/>
        </w:rPr>
        <w:t xml:space="preserve"> </w:t>
      </w:r>
      <w:r>
        <w:rPr>
          <w:rFonts w:hint="eastAsia" w:ascii="仿宋_GB2312" w:hAnsi="宋体" w:eastAsia="仿宋_GB2312"/>
          <w:color w:val="000000"/>
          <w:sz w:val="30"/>
          <w:szCs w:val="30"/>
          <w:lang w:val="zh-CN"/>
        </w:rPr>
        <w:t>中标</w:t>
      </w:r>
      <w:r>
        <w:rPr>
          <w:rFonts w:hint="eastAsia" w:ascii="仿宋_GB2312" w:hAnsi="宋体" w:eastAsia="仿宋_GB2312"/>
          <w:color w:val="000000"/>
          <w:sz w:val="30"/>
          <w:szCs w:val="30"/>
        </w:rPr>
        <w:t>方</w:t>
      </w:r>
      <w:r>
        <w:rPr>
          <w:rFonts w:hint="eastAsia" w:ascii="仿宋_GB2312" w:hAnsi="宋体" w:eastAsia="仿宋_GB2312"/>
          <w:color w:val="000000"/>
          <w:sz w:val="30"/>
          <w:szCs w:val="30"/>
          <w:lang w:val="zh-CN"/>
        </w:rPr>
        <w:t>没有在规定的时间内</w:t>
      </w:r>
      <w:r>
        <w:rPr>
          <w:rFonts w:hint="eastAsia" w:ascii="仿宋_GB2312" w:hAnsi="宋体" w:eastAsia="仿宋_GB2312"/>
          <w:color w:val="000000"/>
          <w:sz w:val="30"/>
          <w:szCs w:val="30"/>
        </w:rPr>
        <w:t>签订线下合同</w:t>
      </w:r>
      <w:r>
        <w:rPr>
          <w:rFonts w:hint="eastAsia" w:ascii="仿宋_GB2312" w:hAnsi="宋体" w:eastAsia="仿宋_GB2312"/>
          <w:color w:val="000000"/>
          <w:sz w:val="30"/>
          <w:szCs w:val="30"/>
          <w:lang w:val="zh-CN"/>
        </w:rPr>
        <w:t>，视为</w:t>
      </w:r>
      <w:r>
        <w:rPr>
          <w:rFonts w:hint="eastAsia" w:ascii="仿宋_GB2312" w:hAnsi="宋体" w:eastAsia="仿宋_GB2312"/>
          <w:color w:val="000000"/>
          <w:sz w:val="30"/>
          <w:szCs w:val="30"/>
        </w:rPr>
        <w:t>采购合同和销售合同均</w:t>
      </w:r>
      <w:r>
        <w:rPr>
          <w:rFonts w:hint="eastAsia" w:ascii="仿宋_GB2312" w:hAnsi="宋体" w:eastAsia="仿宋_GB2312"/>
          <w:color w:val="000000"/>
          <w:sz w:val="30"/>
          <w:szCs w:val="30"/>
          <w:lang w:val="zh-CN"/>
        </w:rPr>
        <w:t>违约，由安徽省粮食和物资储备保障中心（国家粮食安徽交易中心）按本细则第五条所列标准，从所交纳的保证金或货款中扣除相应的履约保证金和交易保证金，分别支付给</w:t>
      </w:r>
      <w:r>
        <w:rPr>
          <w:rFonts w:hint="eastAsia" w:ascii="仿宋_GB2312" w:hAnsi="宋体" w:eastAsia="仿宋_GB2312"/>
          <w:color w:val="000000"/>
          <w:sz w:val="30"/>
          <w:szCs w:val="30"/>
        </w:rPr>
        <w:t>委托</w:t>
      </w:r>
      <w:r>
        <w:rPr>
          <w:rFonts w:hint="eastAsia" w:ascii="仿宋_GB2312" w:hAnsi="宋体" w:eastAsia="仿宋_GB2312"/>
          <w:color w:val="000000"/>
          <w:sz w:val="30"/>
          <w:szCs w:val="30"/>
          <w:lang w:val="zh-CN"/>
        </w:rPr>
        <w:t>方和安徽省粮食和物资储备保障中心（国家粮食安徽交易中心）。</w:t>
      </w:r>
    </w:p>
    <w:p w14:paraId="6C689FA7">
      <w:pPr>
        <w:spacing w:line="560" w:lineRule="exact"/>
        <w:ind w:firstLine="600" w:firstLineChars="200"/>
        <w:rPr>
          <w:rFonts w:ascii="仿宋_GB2312" w:eastAsia="仿宋_GB2312"/>
          <w:color w:val="000000"/>
          <w:sz w:val="30"/>
          <w:szCs w:val="30"/>
        </w:rPr>
      </w:pPr>
      <w:r>
        <w:rPr>
          <w:rFonts w:hint="eastAsia" w:ascii="黑体" w:eastAsia="黑体"/>
          <w:kern w:val="0"/>
          <w:sz w:val="30"/>
          <w:szCs w:val="20"/>
        </w:rPr>
        <w:t>第三十二条</w:t>
      </w:r>
      <w:r>
        <w:rPr>
          <w:rFonts w:hint="eastAsia" w:ascii="仿宋_GB2312" w:hAnsi="宋体" w:eastAsia="仿宋_GB2312"/>
          <w:color w:val="000000"/>
          <w:sz w:val="30"/>
          <w:szCs w:val="30"/>
        </w:rPr>
        <w:t xml:space="preserve"> </w:t>
      </w:r>
      <w:r>
        <w:rPr>
          <w:rFonts w:hint="eastAsia" w:ascii="仿宋_GB2312" w:hAnsi="宋体" w:eastAsia="仿宋_GB2312"/>
          <w:color w:val="000000"/>
          <w:sz w:val="30"/>
          <w:szCs w:val="30"/>
          <w:lang w:val="zh-CN"/>
        </w:rPr>
        <w:t>库方未能在规定的时间内积极配合，</w:t>
      </w:r>
      <w:r>
        <w:rPr>
          <w:rFonts w:hint="eastAsia" w:ascii="仿宋_GB2312" w:hAnsi="宋体" w:eastAsia="仿宋_GB2312"/>
          <w:color w:val="000000"/>
          <w:sz w:val="30"/>
          <w:szCs w:val="30"/>
        </w:rPr>
        <w:t>由中标企业以书面形式报</w:t>
      </w:r>
      <w:r>
        <w:rPr>
          <w:rFonts w:hint="eastAsia" w:ascii="仿宋_GB2312" w:hAnsi="宋体" w:eastAsia="仿宋_GB2312"/>
          <w:color w:val="000000"/>
          <w:sz w:val="30"/>
          <w:szCs w:val="30"/>
          <w:lang w:val="zh-CN"/>
        </w:rPr>
        <w:t>安徽省粮食和物资储备保障中心（国家粮食安徽交易中心）</w:t>
      </w:r>
      <w:r>
        <w:rPr>
          <w:rFonts w:hint="eastAsia" w:ascii="仿宋_GB2312" w:hAnsi="宋体" w:eastAsia="仿宋_GB2312"/>
          <w:color w:val="000000"/>
          <w:sz w:val="30"/>
          <w:szCs w:val="30"/>
        </w:rPr>
        <w:t>申请协调</w:t>
      </w:r>
      <w:r>
        <w:rPr>
          <w:rFonts w:hint="eastAsia" w:ascii="仿宋_GB2312" w:hAnsi="宋体" w:eastAsia="仿宋_GB2312"/>
          <w:color w:val="000000"/>
          <w:sz w:val="30"/>
          <w:szCs w:val="30"/>
          <w:lang w:val="zh-CN"/>
        </w:rPr>
        <w:t>，</w:t>
      </w:r>
      <w:r>
        <w:rPr>
          <w:rFonts w:hint="eastAsia" w:ascii="仿宋_GB2312" w:hAnsi="宋体" w:eastAsia="仿宋_GB2312"/>
          <w:color w:val="000000"/>
          <w:sz w:val="30"/>
          <w:szCs w:val="30"/>
        </w:rPr>
        <w:t>经协调仍不能</w:t>
      </w:r>
      <w:r>
        <w:rPr>
          <w:rFonts w:hint="eastAsia" w:ascii="仿宋_GB2312" w:hAnsi="宋体" w:eastAsia="仿宋_GB2312"/>
          <w:color w:val="000000"/>
          <w:sz w:val="30"/>
          <w:szCs w:val="30"/>
          <w:lang w:val="zh-CN"/>
        </w:rPr>
        <w:t>按合同规定的时间、质量、数量出入库的，视为违约，安徽省粮食和物资储备保障中心（国家粮食安徽交易中心）将依法</w:t>
      </w:r>
      <w:r>
        <w:rPr>
          <w:rFonts w:hint="eastAsia" w:ascii="仿宋_GB2312" w:eastAsia="仿宋_GB2312"/>
          <w:color w:val="000000"/>
          <w:sz w:val="30"/>
          <w:szCs w:val="30"/>
        </w:rPr>
        <w:t>进行追缴保证金，并从中扣除相应的履约保证金和交易保证金，分别支付给交易客户和安徽省粮食和物资储备保障中心（国家粮食安徽交易中心）。</w:t>
      </w:r>
    </w:p>
    <w:p w14:paraId="74A0277D">
      <w:pPr>
        <w:ind w:firstLine="600" w:firstLineChars="200"/>
        <w:rPr>
          <w:rFonts w:ascii="仿宋_GB2312" w:eastAsia="仿宋_GB2312"/>
          <w:color w:val="000000"/>
          <w:sz w:val="30"/>
          <w:szCs w:val="30"/>
        </w:rPr>
      </w:pPr>
      <w:r>
        <w:rPr>
          <w:rFonts w:hint="eastAsia" w:ascii="黑体" w:eastAsia="黑体"/>
          <w:kern w:val="0"/>
          <w:sz w:val="30"/>
          <w:szCs w:val="20"/>
        </w:rPr>
        <w:t>第三十三条</w:t>
      </w:r>
      <w:r>
        <w:rPr>
          <w:rFonts w:hint="eastAsia" w:ascii="仿宋_GB2312" w:eastAsia="仿宋_GB2312"/>
          <w:b/>
          <w:sz w:val="30"/>
          <w:szCs w:val="30"/>
        </w:rPr>
        <w:t xml:space="preserve"> </w:t>
      </w:r>
      <w:r>
        <w:rPr>
          <w:rFonts w:hint="eastAsia" w:ascii="仿宋_GB2312" w:eastAsia="仿宋_GB2312"/>
          <w:color w:val="000000"/>
          <w:sz w:val="30"/>
          <w:szCs w:val="30"/>
        </w:rPr>
        <w:t>交易双方的任何一方由于不可抗拒的因素不能履行或者不能完全履行合同时，应在3日内以书面形式向安徽省粮食和物资储备保障中心（国家粮食安徽交易中心）提出申请并经认可后，可延期履行合同或解除合同，否则以违约处理。</w:t>
      </w:r>
    </w:p>
    <w:p w14:paraId="799C7672">
      <w:pPr>
        <w:adjustRightInd w:val="0"/>
        <w:snapToGrid w:val="0"/>
        <w:spacing w:line="560" w:lineRule="exact"/>
        <w:ind w:firstLine="600" w:firstLineChars="200"/>
        <w:rPr>
          <w:rFonts w:ascii="仿宋_GB2312" w:eastAsia="仿宋_GB2312"/>
          <w:sz w:val="30"/>
          <w:szCs w:val="30"/>
        </w:rPr>
      </w:pPr>
      <w:r>
        <w:rPr>
          <w:rFonts w:hint="eastAsia" w:ascii="黑体" w:eastAsia="黑体"/>
          <w:kern w:val="0"/>
          <w:sz w:val="30"/>
          <w:szCs w:val="20"/>
        </w:rPr>
        <w:t>第三十四条</w:t>
      </w:r>
      <w:r>
        <w:rPr>
          <w:rFonts w:hint="eastAsia" w:ascii="仿宋_GB2312" w:eastAsia="仿宋_GB2312"/>
          <w:b/>
          <w:sz w:val="30"/>
          <w:szCs w:val="30"/>
        </w:rPr>
        <w:t xml:space="preserve"> </w:t>
      </w:r>
      <w:r>
        <w:rPr>
          <w:rFonts w:hint="eastAsia" w:ascii="仿宋_GB2312" w:eastAsia="仿宋_GB2312"/>
          <w:sz w:val="30"/>
          <w:szCs w:val="30"/>
        </w:rPr>
        <w:t>交易双方除上述情况外，一方不能履行或者不能完全履行合同时，另一方应及时以书面形式报安徽省粮食和物资储备保障中心（国家粮食安徽交易中心）备案，并积极与对方协商解决；协商不一致的，双方可协商向仲裁机构申请裁定，也可单方直接向人民法院起诉。</w:t>
      </w:r>
    </w:p>
    <w:p w14:paraId="1AF0164A">
      <w:pPr>
        <w:adjustRightInd w:val="0"/>
        <w:snapToGrid w:val="0"/>
        <w:spacing w:line="560" w:lineRule="exact"/>
        <w:jc w:val="center"/>
        <w:rPr>
          <w:rFonts w:ascii="黑体" w:hAnsi="黑体" w:eastAsia="黑体"/>
          <w:b/>
          <w:sz w:val="30"/>
          <w:szCs w:val="30"/>
        </w:rPr>
      </w:pPr>
      <w:r>
        <w:rPr>
          <w:rFonts w:hint="eastAsia" w:ascii="黑体" w:hAnsi="黑体" w:eastAsia="黑体"/>
          <w:b/>
          <w:sz w:val="30"/>
          <w:szCs w:val="30"/>
        </w:rPr>
        <w:t>第八章 附 则</w:t>
      </w:r>
    </w:p>
    <w:p w14:paraId="23F11CD6">
      <w:pPr>
        <w:pStyle w:val="4"/>
        <w:widowControl/>
        <w:spacing w:beforeAutospacing="1" w:afterAutospacing="1" w:line="432" w:lineRule="auto"/>
        <w:ind w:firstLine="600" w:firstLineChars="200"/>
      </w:pPr>
      <w:r>
        <w:rPr>
          <w:rFonts w:hint="eastAsia" w:ascii="黑体" w:eastAsia="黑体"/>
          <w:sz w:val="30"/>
        </w:rPr>
        <w:t>第三十五条</w:t>
      </w:r>
      <w:r>
        <w:rPr>
          <w:rFonts w:hint="eastAsia" w:ascii="仿宋_GB2312" w:eastAsia="仿宋_GB2312"/>
          <w:b/>
          <w:sz w:val="30"/>
          <w:szCs w:val="30"/>
        </w:rPr>
        <w:t xml:space="preserve"> </w:t>
      </w:r>
      <w:r>
        <w:rPr>
          <w:rFonts w:hint="eastAsia" w:ascii="仿宋_GB2312" w:eastAsia="仿宋_GB2312"/>
          <w:kern w:val="2"/>
          <w:sz w:val="30"/>
          <w:szCs w:val="30"/>
        </w:rPr>
        <w:t>安徽省粮食和物资储备保障中心（国家粮食安徽交易中心）负责监督合同的执行，协调处理商务等问题。如遇未尽事宜，由安徽省粮食和物资储备保障中心（国家粮食安徽交易中心）暨安徽农垦交易中心服务点与有关部门协商处理。</w:t>
      </w:r>
      <w:r>
        <w:rPr>
          <w:rFonts w:hint="eastAsia" w:ascii="仿宋_GB2312" w:eastAsia="仿宋_GB2312"/>
          <w:kern w:val="2"/>
          <w:sz w:val="30"/>
          <w:szCs w:val="30"/>
        </w:rPr>
        <w:br w:type="textWrapping"/>
      </w:r>
      <w:r>
        <w:rPr>
          <w:rFonts w:hint="eastAsia" w:ascii="仿宋_GB2312" w:eastAsia="仿宋_GB2312"/>
          <w:kern w:val="2"/>
          <w:sz w:val="30"/>
          <w:szCs w:val="30"/>
        </w:rPr>
        <w:t xml:space="preserve">    </w:t>
      </w:r>
      <w:r>
        <w:rPr>
          <w:rFonts w:hint="eastAsia" w:ascii="黑体" w:eastAsia="黑体"/>
          <w:sz w:val="30"/>
        </w:rPr>
        <w:t>第三十六条</w:t>
      </w:r>
      <w:r>
        <w:rPr>
          <w:rFonts w:hint="eastAsia" w:ascii="仿宋_GB2312" w:eastAsia="仿宋_GB2312"/>
          <w:sz w:val="30"/>
          <w:szCs w:val="30"/>
        </w:rPr>
        <w:t xml:space="preserve"> 本交易细则由安徽省粮食和物资储备保障中心（国家粮食安徽交易中心）负责解释。</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1"/>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w:altName w:val="Courier New"/>
    <w:panose1 w:val="02070409020205020404"/>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WFjZTUxMzI3ZWFiOWQwYWY2ZTAwNTQzYTdkYmYwZDQifQ=="/>
  </w:docVars>
  <w:rsids>
    <w:rsidRoot w:val="1CD92825"/>
    <w:rsid w:val="000266DE"/>
    <w:rsid w:val="00027CA0"/>
    <w:rsid w:val="00027D4B"/>
    <w:rsid w:val="000A17D2"/>
    <w:rsid w:val="000C08F0"/>
    <w:rsid w:val="000F1817"/>
    <w:rsid w:val="001217CA"/>
    <w:rsid w:val="00142247"/>
    <w:rsid w:val="00144B86"/>
    <w:rsid w:val="001C17F2"/>
    <w:rsid w:val="002376EB"/>
    <w:rsid w:val="002B7250"/>
    <w:rsid w:val="002C4E8A"/>
    <w:rsid w:val="002C7840"/>
    <w:rsid w:val="00354332"/>
    <w:rsid w:val="003A2AB0"/>
    <w:rsid w:val="003B1428"/>
    <w:rsid w:val="003B4BD8"/>
    <w:rsid w:val="0040281D"/>
    <w:rsid w:val="00425CF6"/>
    <w:rsid w:val="00496377"/>
    <w:rsid w:val="00501987"/>
    <w:rsid w:val="00504F40"/>
    <w:rsid w:val="00646685"/>
    <w:rsid w:val="006C0AEC"/>
    <w:rsid w:val="006D3516"/>
    <w:rsid w:val="007422FF"/>
    <w:rsid w:val="00750CCC"/>
    <w:rsid w:val="00787663"/>
    <w:rsid w:val="007C396A"/>
    <w:rsid w:val="007D1210"/>
    <w:rsid w:val="00847D43"/>
    <w:rsid w:val="008A7B89"/>
    <w:rsid w:val="008B09EA"/>
    <w:rsid w:val="00900C4D"/>
    <w:rsid w:val="009055F6"/>
    <w:rsid w:val="00945B33"/>
    <w:rsid w:val="00975601"/>
    <w:rsid w:val="009A3CE4"/>
    <w:rsid w:val="009B74CA"/>
    <w:rsid w:val="009D0E8B"/>
    <w:rsid w:val="00A23647"/>
    <w:rsid w:val="00A579D9"/>
    <w:rsid w:val="00A85CDA"/>
    <w:rsid w:val="00AF5FB8"/>
    <w:rsid w:val="00B43672"/>
    <w:rsid w:val="00B87A3F"/>
    <w:rsid w:val="00B9123B"/>
    <w:rsid w:val="00BC7FE1"/>
    <w:rsid w:val="00BD4CC5"/>
    <w:rsid w:val="00C05B20"/>
    <w:rsid w:val="00C91E02"/>
    <w:rsid w:val="00CD289F"/>
    <w:rsid w:val="00D00FBE"/>
    <w:rsid w:val="00D707E4"/>
    <w:rsid w:val="00DB53B8"/>
    <w:rsid w:val="00E01E00"/>
    <w:rsid w:val="00E465ED"/>
    <w:rsid w:val="00EA1DCB"/>
    <w:rsid w:val="00FE320C"/>
    <w:rsid w:val="01011432"/>
    <w:rsid w:val="017E6F26"/>
    <w:rsid w:val="01D9415D"/>
    <w:rsid w:val="02206A51"/>
    <w:rsid w:val="03420C28"/>
    <w:rsid w:val="03B44E81"/>
    <w:rsid w:val="03CC21CB"/>
    <w:rsid w:val="05860158"/>
    <w:rsid w:val="05FF4EDB"/>
    <w:rsid w:val="070659F4"/>
    <w:rsid w:val="0790350F"/>
    <w:rsid w:val="097F1A8E"/>
    <w:rsid w:val="0D2A1C1F"/>
    <w:rsid w:val="0DCB34F3"/>
    <w:rsid w:val="0DE10621"/>
    <w:rsid w:val="0E177C44"/>
    <w:rsid w:val="0F0042EC"/>
    <w:rsid w:val="0FEB39D9"/>
    <w:rsid w:val="0FF12938"/>
    <w:rsid w:val="11AE5B1B"/>
    <w:rsid w:val="12AA7B7B"/>
    <w:rsid w:val="130C3D06"/>
    <w:rsid w:val="14860174"/>
    <w:rsid w:val="16762C77"/>
    <w:rsid w:val="19575C3B"/>
    <w:rsid w:val="19B17A41"/>
    <w:rsid w:val="1C1030E8"/>
    <w:rsid w:val="1CD92825"/>
    <w:rsid w:val="1CFF6D16"/>
    <w:rsid w:val="1E814C17"/>
    <w:rsid w:val="22B3439B"/>
    <w:rsid w:val="234C3BA2"/>
    <w:rsid w:val="23612A51"/>
    <w:rsid w:val="247D55BF"/>
    <w:rsid w:val="26217CFD"/>
    <w:rsid w:val="266D07DD"/>
    <w:rsid w:val="26EA218A"/>
    <w:rsid w:val="29143B49"/>
    <w:rsid w:val="29656818"/>
    <w:rsid w:val="2A810D6A"/>
    <w:rsid w:val="2B5976E6"/>
    <w:rsid w:val="2D002B75"/>
    <w:rsid w:val="2D5269EE"/>
    <w:rsid w:val="2E41707B"/>
    <w:rsid w:val="2FAA2451"/>
    <w:rsid w:val="30FC114A"/>
    <w:rsid w:val="32881493"/>
    <w:rsid w:val="34A55F9D"/>
    <w:rsid w:val="356847E1"/>
    <w:rsid w:val="35E07F7D"/>
    <w:rsid w:val="367B42B2"/>
    <w:rsid w:val="38743CBC"/>
    <w:rsid w:val="3BB07701"/>
    <w:rsid w:val="3BB30F9F"/>
    <w:rsid w:val="3CF61143"/>
    <w:rsid w:val="3CF72F7C"/>
    <w:rsid w:val="3D9A0490"/>
    <w:rsid w:val="40F40039"/>
    <w:rsid w:val="429E284C"/>
    <w:rsid w:val="43A04842"/>
    <w:rsid w:val="446B0669"/>
    <w:rsid w:val="45965BB9"/>
    <w:rsid w:val="463C0B89"/>
    <w:rsid w:val="465F61FC"/>
    <w:rsid w:val="472944A5"/>
    <w:rsid w:val="479E48B1"/>
    <w:rsid w:val="49034F94"/>
    <w:rsid w:val="49777AB0"/>
    <w:rsid w:val="4DC9681C"/>
    <w:rsid w:val="50FC40BA"/>
    <w:rsid w:val="51C03304"/>
    <w:rsid w:val="51C531EB"/>
    <w:rsid w:val="52D753D2"/>
    <w:rsid w:val="54596730"/>
    <w:rsid w:val="580947A8"/>
    <w:rsid w:val="5ABF4E13"/>
    <w:rsid w:val="5C683F13"/>
    <w:rsid w:val="5CE648D9"/>
    <w:rsid w:val="5EA720B6"/>
    <w:rsid w:val="5ECC3FA2"/>
    <w:rsid w:val="5F561788"/>
    <w:rsid w:val="5F9A70E8"/>
    <w:rsid w:val="61B37CD9"/>
    <w:rsid w:val="623F6839"/>
    <w:rsid w:val="633A597E"/>
    <w:rsid w:val="634D7265"/>
    <w:rsid w:val="64A24868"/>
    <w:rsid w:val="65390FB3"/>
    <w:rsid w:val="6A7E48E6"/>
    <w:rsid w:val="6A942C34"/>
    <w:rsid w:val="6C224DB0"/>
    <w:rsid w:val="6D194397"/>
    <w:rsid w:val="6D4F2026"/>
    <w:rsid w:val="70052E70"/>
    <w:rsid w:val="72693B8A"/>
    <w:rsid w:val="731D6723"/>
    <w:rsid w:val="74463A57"/>
    <w:rsid w:val="753366D1"/>
    <w:rsid w:val="774E5745"/>
    <w:rsid w:val="791C1D5C"/>
    <w:rsid w:val="7A081EDB"/>
    <w:rsid w:val="7A692DEB"/>
    <w:rsid w:val="7A8D64C2"/>
    <w:rsid w:val="7BFC15CB"/>
    <w:rsid w:val="7D5A5B2C"/>
    <w:rsid w:val="7D99109C"/>
    <w:rsid w:val="7DFA5FDE"/>
    <w:rsid w:val="7E543940"/>
    <w:rsid w:val="7EC16AFC"/>
    <w:rsid w:val="7EDB7BBE"/>
    <w:rsid w:val="7F052E8D"/>
    <w:rsid w:val="7F60456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unhideWhenUsed="0" w:uiPriority="0" w:semiHidden="0" w:name="HTML Definition"/>
    <w:lsdException w:unhideWhenUsed="0" w:uiPriority="0" w:semiHidden="0" w:name="HTML Keyboard"/>
    <w:lsdException w:uiPriority="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4"/>
    <w:qFormat/>
    <w:uiPriority w:val="0"/>
    <w:pPr>
      <w:tabs>
        <w:tab w:val="center" w:pos="4153"/>
        <w:tab w:val="right" w:pos="8306"/>
      </w:tabs>
      <w:snapToGrid w:val="0"/>
      <w:jc w:val="left"/>
    </w:pPr>
    <w:rPr>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99"/>
    <w:pPr>
      <w:jc w:val="left"/>
    </w:pPr>
    <w:rPr>
      <w:kern w:val="0"/>
      <w:sz w:val="24"/>
      <w:szCs w:val="20"/>
    </w:rPr>
  </w:style>
  <w:style w:type="character" w:styleId="7">
    <w:name w:val="Strong"/>
    <w:basedOn w:val="6"/>
    <w:qFormat/>
    <w:uiPriority w:val="22"/>
    <w:rPr>
      <w:b/>
      <w:bCs/>
    </w:rPr>
  </w:style>
  <w:style w:type="character" w:styleId="8">
    <w:name w:val="FollowedHyperlink"/>
    <w:basedOn w:val="6"/>
    <w:qFormat/>
    <w:uiPriority w:val="0"/>
    <w:rPr>
      <w:color w:val="2F2E41"/>
      <w:u w:val="none"/>
    </w:rPr>
  </w:style>
  <w:style w:type="character" w:styleId="9">
    <w:name w:val="Emphasis"/>
    <w:basedOn w:val="6"/>
    <w:qFormat/>
    <w:uiPriority w:val="0"/>
  </w:style>
  <w:style w:type="character" w:styleId="10">
    <w:name w:val="Hyperlink"/>
    <w:qFormat/>
    <w:uiPriority w:val="0"/>
    <w:rPr>
      <w:color w:val="0000FF"/>
      <w:u w:val="single"/>
    </w:rPr>
  </w:style>
  <w:style w:type="character" w:styleId="11">
    <w:name w:val="HTML Code"/>
    <w:basedOn w:val="6"/>
    <w:qFormat/>
    <w:uiPriority w:val="0"/>
    <w:rPr>
      <w:rFonts w:ascii="Courier" w:hAnsi="Courier" w:cs="Courier"/>
      <w:sz w:val="20"/>
    </w:rPr>
  </w:style>
  <w:style w:type="character" w:styleId="12">
    <w:name w:val="HTML Cite"/>
    <w:basedOn w:val="6"/>
    <w:qFormat/>
    <w:uiPriority w:val="0"/>
  </w:style>
  <w:style w:type="character" w:customStyle="1" w:styleId="13">
    <w:name w:val="页眉 字符"/>
    <w:basedOn w:val="6"/>
    <w:link w:val="3"/>
    <w:qFormat/>
    <w:uiPriority w:val="0"/>
    <w:rPr>
      <w:rFonts w:ascii="Times New Roman" w:hAnsi="Times New Roman" w:eastAsia="宋体" w:cs="Times New Roman"/>
      <w:kern w:val="2"/>
      <w:sz w:val="18"/>
      <w:szCs w:val="18"/>
    </w:rPr>
  </w:style>
  <w:style w:type="character" w:customStyle="1" w:styleId="14">
    <w:name w:val="页脚 字符"/>
    <w:basedOn w:val="6"/>
    <w:link w:val="2"/>
    <w:qFormat/>
    <w:uiPriority w:val="0"/>
    <w:rPr>
      <w:rFonts w:ascii="Times New Roman" w:hAnsi="Times New Roman" w:eastAsia="宋体" w:cs="Times New Roman"/>
      <w:kern w:val="2"/>
      <w:sz w:val="18"/>
      <w:szCs w:val="18"/>
    </w:rPr>
  </w:style>
  <w:style w:type="character" w:customStyle="1" w:styleId="15">
    <w:name w:val="active2"/>
    <w:basedOn w:val="6"/>
    <w:qFormat/>
    <w:uiPriority w:val="0"/>
    <w:rPr>
      <w:shd w:val="clear" w:color="auto" w:fill="FFFFFF"/>
    </w:rPr>
  </w:style>
  <w:style w:type="character" w:customStyle="1" w:styleId="16">
    <w:name w:val="active"/>
    <w:basedOn w:val="6"/>
    <w:qFormat/>
    <w:uiPriority w:val="0"/>
    <w:rPr>
      <w:shd w:val="clear" w:color="auto" w:fill="FFFFFF"/>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7</Pages>
  <Words>3681</Words>
  <Characters>3775</Characters>
  <Lines>27</Lines>
  <Paragraphs>7</Paragraphs>
  <TotalTime>0</TotalTime>
  <ScaleCrop>false</ScaleCrop>
  <LinksUpToDate>false</LinksUpToDate>
  <CharactersWithSpaces>3859</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2024-05-07T01:05:00Z</dcterms:created>
  <dc:creator>LENOVO</dc:creator>
  <cp:lastModifiedBy>WPS_1706684652</cp:lastModifiedBy>
  <dcterms:modified xsi:type="dcterms:W3CDTF">2025-12-05T08:47:47Z</dcterms:modified>
  <cp:revision>63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2E37ADC288394DC0B15BB96FEC8A55DD_13</vt:lpwstr>
  </property>
  <property fmtid="{D5CDD505-2E9C-101B-9397-08002B2CF9AE}" pid="4" name="KSOTemplateDocerSaveRecord">
    <vt:lpwstr>eyJoZGlkIjoiYTAzOTA4ZDg2YWQ5NjQ0NjZmZWU2MzQ2NDg1YzkwNGMiLCJ1c2VySWQiOiIxNTc3NjM3MzIwIn0=</vt:lpwstr>
  </property>
</Properties>
</file>