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A2879A">
      <w:pPr>
        <w:widowControl/>
        <w:kinsoku w:val="0"/>
        <w:autoSpaceDE w:val="0"/>
        <w:autoSpaceDN w:val="0"/>
        <w:adjustRightInd w:val="0"/>
        <w:snapToGrid w:val="0"/>
        <w:spacing w:before="147" w:line="219" w:lineRule="auto"/>
        <w:ind w:left="536"/>
        <w:jc w:val="left"/>
        <w:textAlignment w:val="baseline"/>
        <w:rPr>
          <w:rFonts w:ascii="宋体" w:hAnsi="宋体" w:eastAsia="宋体" w:cs="宋体"/>
          <w:snapToGrid w:val="0"/>
          <w:color w:val="000000"/>
          <w:kern w:val="0"/>
          <w:sz w:val="45"/>
          <w:szCs w:val="45"/>
          <w:lang w:eastAsia="en-US"/>
        </w:rPr>
      </w:pPr>
      <w:bookmarkStart w:id="0" w:name="_GoBack"/>
      <w:r>
        <w:rPr>
          <w:rFonts w:ascii="宋体" w:hAnsi="宋体" w:eastAsia="宋体" w:cs="宋体"/>
          <w:b/>
          <w:bCs/>
          <w:snapToGrid w:val="0"/>
          <w:color w:val="000000"/>
          <w:spacing w:val="-3"/>
          <w:kern w:val="0"/>
          <w:sz w:val="45"/>
          <w:szCs w:val="45"/>
          <w:lang w:eastAsia="en-US"/>
        </w:rPr>
        <w:t>2025年</w:t>
      </w:r>
      <w:r>
        <w:rPr>
          <w:rFonts w:hint="eastAsia" w:ascii="宋体" w:hAnsi="宋体" w:eastAsia="宋体" w:cs="宋体"/>
          <w:b/>
          <w:bCs/>
          <w:snapToGrid w:val="0"/>
          <w:color w:val="000000"/>
          <w:spacing w:val="-3"/>
          <w:kern w:val="0"/>
          <w:sz w:val="45"/>
          <w:szCs w:val="45"/>
          <w:lang w:val="en-US" w:eastAsia="zh-CN"/>
        </w:rPr>
        <w:t>黄山区</w:t>
      </w:r>
      <w:r>
        <w:rPr>
          <w:rFonts w:ascii="宋体" w:hAnsi="宋体" w:eastAsia="宋体" w:cs="宋体"/>
          <w:b/>
          <w:bCs/>
          <w:snapToGrid w:val="0"/>
          <w:color w:val="000000"/>
          <w:spacing w:val="-3"/>
          <w:kern w:val="0"/>
          <w:sz w:val="45"/>
          <w:szCs w:val="45"/>
          <w:lang w:eastAsia="en-US"/>
        </w:rPr>
        <w:t>区级储备稻谷采购质量标准</w:t>
      </w:r>
    </w:p>
    <w:bookmarkEnd w:id="0"/>
    <w:p w14:paraId="5CD71E6F">
      <w:pPr>
        <w:widowControl/>
        <w:kinsoku w:val="0"/>
        <w:autoSpaceDE w:val="0"/>
        <w:autoSpaceDN w:val="0"/>
        <w:adjustRightInd w:val="0"/>
        <w:snapToGrid w:val="0"/>
        <w:spacing w:before="220" w:line="240" w:lineRule="auto"/>
        <w:jc w:val="left"/>
        <w:textAlignment w:val="baseline"/>
        <w:rPr>
          <w:rFonts w:ascii="Arial" w:hAnsi="Arial" w:eastAsia="Arial" w:cs="Arial"/>
          <w:snapToGrid w:val="0"/>
          <w:color w:val="000000"/>
          <w:kern w:val="0"/>
          <w:szCs w:val="21"/>
          <w:lang w:eastAsia="en-US"/>
        </w:rPr>
      </w:pPr>
    </w:p>
    <w:tbl>
      <w:tblPr>
        <w:tblStyle w:val="4"/>
        <w:tblW w:w="8849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0"/>
        <w:gridCol w:w="1099"/>
        <w:gridCol w:w="2000"/>
        <w:gridCol w:w="2050"/>
        <w:gridCol w:w="3070"/>
      </w:tblGrid>
      <w:tr w14:paraId="1BC326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4" w:hRule="atLeast"/>
        </w:trPr>
        <w:tc>
          <w:tcPr>
            <w:tcW w:w="1729" w:type="dxa"/>
            <w:gridSpan w:val="2"/>
            <w:tcBorders>
              <w:left w:val="nil"/>
            </w:tcBorders>
            <w:vAlign w:val="top"/>
          </w:tcPr>
          <w:p w14:paraId="7A4EBDC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9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1AE97673">
            <w:pPr>
              <w:kinsoku w:val="0"/>
              <w:autoSpaceDE w:val="0"/>
              <w:autoSpaceDN w:val="0"/>
              <w:adjustRightInd w:val="0"/>
              <w:snapToGrid w:val="0"/>
              <w:spacing w:before="87" w:line="221" w:lineRule="auto"/>
              <w:ind w:left="59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6"/>
                <w:kern w:val="0"/>
                <w:sz w:val="27"/>
                <w:szCs w:val="27"/>
                <w:lang w:val="en-US" w:eastAsia="en-US" w:bidi="ar-SA"/>
              </w:rPr>
              <w:t>名称</w:t>
            </w:r>
          </w:p>
        </w:tc>
        <w:tc>
          <w:tcPr>
            <w:tcW w:w="2000" w:type="dxa"/>
            <w:vAlign w:val="top"/>
          </w:tcPr>
          <w:p w14:paraId="3EEFFFE7">
            <w:pPr>
              <w:kinsoku w:val="0"/>
              <w:autoSpaceDE w:val="0"/>
              <w:autoSpaceDN w:val="0"/>
              <w:adjustRightInd w:val="0"/>
              <w:snapToGrid w:val="0"/>
              <w:spacing w:before="36" w:line="219" w:lineRule="auto"/>
              <w:ind w:left="45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3"/>
                <w:kern w:val="0"/>
                <w:sz w:val="27"/>
                <w:szCs w:val="27"/>
                <w:lang w:val="en-US" w:eastAsia="en-US" w:bidi="ar-SA"/>
              </w:rPr>
              <w:t>国标三等</w:t>
            </w:r>
          </w:p>
          <w:p w14:paraId="78825E16">
            <w:pPr>
              <w:kinsoku w:val="0"/>
              <w:autoSpaceDE w:val="0"/>
              <w:autoSpaceDN w:val="0"/>
              <w:adjustRightInd w:val="0"/>
              <w:snapToGrid w:val="0"/>
              <w:spacing w:before="63" w:line="219" w:lineRule="auto"/>
              <w:ind w:left="45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7"/>
                <w:kern w:val="0"/>
                <w:sz w:val="27"/>
                <w:szCs w:val="27"/>
                <w:lang w:val="en-US" w:eastAsia="en-US" w:bidi="ar-SA"/>
              </w:rPr>
              <w:t>(GB1350-</w:t>
            </w:r>
          </w:p>
          <w:p w14:paraId="1D4BD117">
            <w:pPr>
              <w:kinsoku w:val="0"/>
              <w:autoSpaceDE w:val="0"/>
              <w:autoSpaceDN w:val="0"/>
              <w:adjustRightInd w:val="0"/>
              <w:snapToGrid w:val="0"/>
              <w:spacing w:line="180" w:lineRule="auto"/>
              <w:ind w:left="65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7"/>
                <w:szCs w:val="27"/>
                <w:lang w:val="en-US" w:eastAsia="en-US" w:bidi="ar-SA"/>
              </w:rPr>
              <w:t>2009)</w:t>
            </w:r>
          </w:p>
        </w:tc>
        <w:tc>
          <w:tcPr>
            <w:tcW w:w="2050" w:type="dxa"/>
            <w:vAlign w:val="top"/>
          </w:tcPr>
          <w:p w14:paraId="23B13E6E">
            <w:pPr>
              <w:kinsoku w:val="0"/>
              <w:autoSpaceDE w:val="0"/>
              <w:autoSpaceDN w:val="0"/>
              <w:adjustRightInd w:val="0"/>
              <w:snapToGrid w:val="0"/>
              <w:spacing w:before="56" w:line="219" w:lineRule="auto"/>
              <w:ind w:left="40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3"/>
                <w:kern w:val="0"/>
                <w:sz w:val="27"/>
                <w:szCs w:val="27"/>
                <w:lang w:val="en-US" w:eastAsia="en-US" w:bidi="ar-SA"/>
              </w:rPr>
              <w:t>最高(或最</w:t>
            </w:r>
          </w:p>
          <w:p w14:paraId="2348C810">
            <w:pPr>
              <w:kinsoku w:val="0"/>
              <w:autoSpaceDE w:val="0"/>
              <w:autoSpaceDN w:val="0"/>
              <w:adjustRightInd w:val="0"/>
              <w:snapToGrid w:val="0"/>
              <w:spacing w:before="1" w:line="218" w:lineRule="auto"/>
              <w:ind w:left="81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27"/>
                <w:szCs w:val="27"/>
                <w:lang w:val="en-US" w:eastAsia="en-US" w:bidi="ar-SA"/>
              </w:rPr>
              <w:t>低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60"/>
                <w:kern w:val="0"/>
                <w:sz w:val="27"/>
                <w:szCs w:val="27"/>
                <w:lang w:val="en-US" w:eastAsia="en-US" w:bidi="ar-SA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27"/>
                <w:szCs w:val="27"/>
                <w:lang w:val="en-US" w:eastAsia="en-US" w:bidi="ar-SA"/>
              </w:rPr>
              <w:t>)</w:t>
            </w:r>
          </w:p>
          <w:p w14:paraId="01CB2C26">
            <w:pPr>
              <w:kinsoku w:val="0"/>
              <w:autoSpaceDE w:val="0"/>
              <w:autoSpaceDN w:val="0"/>
              <w:adjustRightInd w:val="0"/>
              <w:snapToGrid w:val="0"/>
              <w:spacing w:line="210" w:lineRule="auto"/>
              <w:ind w:left="47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3"/>
                <w:kern w:val="0"/>
                <w:sz w:val="27"/>
                <w:szCs w:val="27"/>
                <w:lang w:val="en-US" w:eastAsia="en-US" w:bidi="ar-SA"/>
              </w:rPr>
              <w:t>质量标准</w:t>
            </w:r>
          </w:p>
        </w:tc>
        <w:tc>
          <w:tcPr>
            <w:tcW w:w="3070" w:type="dxa"/>
            <w:tcBorders>
              <w:right w:val="nil"/>
            </w:tcBorders>
            <w:vAlign w:val="top"/>
          </w:tcPr>
          <w:p w14:paraId="6965AA52">
            <w:pPr>
              <w:kinsoku w:val="0"/>
              <w:autoSpaceDE w:val="0"/>
              <w:autoSpaceDN w:val="0"/>
              <w:adjustRightInd w:val="0"/>
              <w:snapToGrid w:val="0"/>
              <w:spacing w:before="43" w:line="218" w:lineRule="auto"/>
              <w:ind w:left="98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2"/>
                <w:kern w:val="0"/>
                <w:sz w:val="27"/>
                <w:szCs w:val="27"/>
                <w:lang w:val="en-US" w:eastAsia="en-US" w:bidi="ar-SA"/>
              </w:rPr>
              <w:t>作价办法</w:t>
            </w:r>
          </w:p>
          <w:p w14:paraId="7D2BA562">
            <w:pPr>
              <w:kinsoku w:val="0"/>
              <w:autoSpaceDE w:val="0"/>
              <w:autoSpaceDN w:val="0"/>
              <w:adjustRightInd w:val="0"/>
              <w:snapToGrid w:val="0"/>
              <w:spacing w:before="11" w:line="219" w:lineRule="auto"/>
              <w:ind w:left="31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4"/>
                <w:kern w:val="0"/>
                <w:sz w:val="27"/>
                <w:szCs w:val="27"/>
                <w:lang w:val="en-US" w:eastAsia="en-US" w:bidi="ar-SA"/>
              </w:rPr>
              <w:t>(执行国粮标〔2024)</w:t>
            </w:r>
          </w:p>
          <w:p w14:paraId="4E283215">
            <w:pPr>
              <w:kinsoku w:val="0"/>
              <w:autoSpaceDE w:val="0"/>
              <w:autoSpaceDN w:val="0"/>
              <w:adjustRightInd w:val="0"/>
              <w:snapToGrid w:val="0"/>
              <w:spacing w:before="43" w:line="182" w:lineRule="auto"/>
              <w:ind w:left="112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11"/>
                <w:kern w:val="0"/>
                <w:sz w:val="27"/>
                <w:szCs w:val="27"/>
                <w:lang w:val="en-US" w:eastAsia="en-US" w:bidi="ar-SA"/>
              </w:rPr>
              <w:t>198号)</w:t>
            </w:r>
          </w:p>
        </w:tc>
      </w:tr>
      <w:tr w14:paraId="075BB7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8" w:hRule="atLeast"/>
        </w:trPr>
        <w:tc>
          <w:tcPr>
            <w:tcW w:w="1729" w:type="dxa"/>
            <w:gridSpan w:val="2"/>
            <w:tcBorders>
              <w:left w:val="nil"/>
            </w:tcBorders>
            <w:vAlign w:val="top"/>
          </w:tcPr>
          <w:p w14:paraId="4A316F1D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76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7B2F0B9E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77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633CB42E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77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1F68247C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77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2CE5BB12">
            <w:pPr>
              <w:kinsoku w:val="0"/>
              <w:autoSpaceDE w:val="0"/>
              <w:autoSpaceDN w:val="0"/>
              <w:adjustRightInd w:val="0"/>
              <w:snapToGrid w:val="0"/>
              <w:spacing w:before="88" w:line="219" w:lineRule="auto"/>
              <w:ind w:left="389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10"/>
                <w:kern w:val="0"/>
                <w:sz w:val="27"/>
                <w:szCs w:val="27"/>
                <w:lang w:val="en-US" w:eastAsia="en-US" w:bidi="ar-SA"/>
              </w:rPr>
              <w:t>水分(%)</w:t>
            </w:r>
          </w:p>
        </w:tc>
        <w:tc>
          <w:tcPr>
            <w:tcW w:w="2000" w:type="dxa"/>
            <w:vAlign w:val="top"/>
          </w:tcPr>
          <w:p w14:paraId="0FFF9484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83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4EAB05B4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83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60BD706F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83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4596B977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84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4817EE83">
            <w:pPr>
              <w:kinsoku w:val="0"/>
              <w:autoSpaceDE w:val="0"/>
              <w:autoSpaceDN w:val="0"/>
              <w:adjustRightInd w:val="0"/>
              <w:snapToGrid w:val="0"/>
              <w:spacing w:before="88" w:line="239" w:lineRule="auto"/>
              <w:ind w:left="65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27"/>
                <w:szCs w:val="27"/>
                <w:lang w:val="en-US" w:eastAsia="en-US" w:bidi="ar-SA"/>
              </w:rPr>
              <w:t>13.5%</w:t>
            </w:r>
          </w:p>
        </w:tc>
        <w:tc>
          <w:tcPr>
            <w:tcW w:w="2050" w:type="dxa"/>
            <w:vAlign w:val="top"/>
          </w:tcPr>
          <w:p w14:paraId="619AFB1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82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602192C1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83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189A6886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83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3F06D94C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83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  <w:p w14:paraId="5E0C093F">
            <w:pPr>
              <w:kinsoku w:val="0"/>
              <w:autoSpaceDE w:val="0"/>
              <w:autoSpaceDN w:val="0"/>
              <w:adjustRightInd w:val="0"/>
              <w:snapToGrid w:val="0"/>
              <w:spacing w:before="87" w:line="236" w:lineRule="auto"/>
              <w:ind w:left="54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27"/>
                <w:szCs w:val="27"/>
                <w:lang w:val="en-US" w:eastAsia="en-US" w:bidi="ar-SA"/>
              </w:rPr>
              <w:t>≤14.0%</w:t>
            </w:r>
          </w:p>
        </w:tc>
        <w:tc>
          <w:tcPr>
            <w:tcW w:w="3070" w:type="dxa"/>
            <w:tcBorders>
              <w:right w:val="nil"/>
            </w:tcBorders>
            <w:vAlign w:val="top"/>
          </w:tcPr>
          <w:p w14:paraId="5DD45038">
            <w:pPr>
              <w:kinsoku w:val="0"/>
              <w:autoSpaceDE w:val="0"/>
              <w:autoSpaceDN w:val="0"/>
              <w:adjustRightInd w:val="0"/>
              <w:snapToGrid w:val="0"/>
              <w:spacing w:before="78" w:line="216" w:lineRule="auto"/>
              <w:ind w:left="58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7"/>
                <w:szCs w:val="27"/>
                <w:lang w:val="en-US" w:eastAsia="en-US" w:bidi="ar-SA"/>
              </w:rPr>
              <w:t>起点13.5%,每高</w:t>
            </w:r>
          </w:p>
          <w:p w14:paraId="098D61AA">
            <w:pPr>
              <w:kinsoku w:val="0"/>
              <w:autoSpaceDE w:val="0"/>
              <w:autoSpaceDN w:val="0"/>
              <w:adjustRightInd w:val="0"/>
              <w:snapToGrid w:val="0"/>
              <w:spacing w:before="14" w:line="216" w:lineRule="auto"/>
              <w:ind w:left="24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  <w:t>0.5%,扣量0.65%;每低</w:t>
            </w:r>
          </w:p>
          <w:p w14:paraId="5C752997">
            <w:pPr>
              <w:kinsoku w:val="0"/>
              <w:autoSpaceDE w:val="0"/>
              <w:autoSpaceDN w:val="0"/>
              <w:adjustRightInd w:val="0"/>
              <w:snapToGrid w:val="0"/>
              <w:spacing w:before="4" w:line="216" w:lineRule="auto"/>
              <w:ind w:left="24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  <w:t>0.5%,增量0.65%;低于</w:t>
            </w:r>
          </w:p>
          <w:p w14:paraId="0AF78D83">
            <w:pPr>
              <w:kinsoku w:val="0"/>
              <w:autoSpaceDE w:val="0"/>
              <w:autoSpaceDN w:val="0"/>
              <w:adjustRightInd w:val="0"/>
              <w:snapToGrid w:val="0"/>
              <w:spacing w:before="27" w:line="219" w:lineRule="auto"/>
              <w:ind w:left="24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303040"/>
                <w:spacing w:val="1"/>
                <w:kern w:val="0"/>
                <w:sz w:val="27"/>
                <w:szCs w:val="27"/>
                <w:lang w:val="en-US" w:eastAsia="en-US" w:bidi="ar-SA"/>
              </w:rPr>
              <w:t>标准规定指标2.5个百</w:t>
            </w:r>
          </w:p>
          <w:p w14:paraId="359E0C84">
            <w:pPr>
              <w:kinsoku w:val="0"/>
              <w:autoSpaceDE w:val="0"/>
              <w:autoSpaceDN w:val="0"/>
              <w:adjustRightInd w:val="0"/>
              <w:snapToGrid w:val="0"/>
              <w:spacing w:before="20" w:line="218" w:lineRule="auto"/>
              <w:ind w:left="17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2"/>
                <w:kern w:val="0"/>
                <w:sz w:val="27"/>
                <w:szCs w:val="27"/>
                <w:lang w:val="en-US" w:eastAsia="en-US" w:bidi="ar-SA"/>
              </w:rPr>
              <w:t>分点及以上的，不在增</w:t>
            </w:r>
          </w:p>
          <w:p w14:paraId="60C4E97C">
            <w:pPr>
              <w:kinsoku w:val="0"/>
              <w:autoSpaceDE w:val="0"/>
              <w:autoSpaceDN w:val="0"/>
              <w:adjustRightInd w:val="0"/>
              <w:snapToGrid w:val="0"/>
              <w:spacing w:line="219" w:lineRule="auto"/>
              <w:ind w:left="24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202040"/>
                <w:kern w:val="0"/>
                <w:sz w:val="27"/>
                <w:szCs w:val="27"/>
                <w:lang w:val="en-US" w:eastAsia="en-US" w:bidi="ar-SA"/>
              </w:rPr>
              <w:t>量；高或低不足0.5个</w:t>
            </w:r>
          </w:p>
          <w:p w14:paraId="32F4CFD8">
            <w:pPr>
              <w:kinsoku w:val="0"/>
              <w:autoSpaceDE w:val="0"/>
              <w:autoSpaceDN w:val="0"/>
              <w:adjustRightInd w:val="0"/>
              <w:snapToGrid w:val="0"/>
              <w:spacing w:before="29" w:line="197" w:lineRule="auto"/>
              <w:ind w:left="374" w:right="295" w:hanging="59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2"/>
                <w:kern w:val="0"/>
                <w:sz w:val="27"/>
                <w:szCs w:val="27"/>
                <w:lang w:val="en-US" w:eastAsia="en-US" w:bidi="ar-SA"/>
              </w:rPr>
              <w:t>百分点的，不计增扣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4"/>
                <w:kern w:val="0"/>
                <w:sz w:val="27"/>
                <w:szCs w:val="27"/>
                <w:lang w:val="en-US" w:eastAsia="en-US" w:bidi="ar-SA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7"/>
                <w:szCs w:val="27"/>
                <w:lang w:val="en-US" w:eastAsia="en-US" w:bidi="ar-SA"/>
              </w:rPr>
              <w:t>量。大于14.0%拒收</w:t>
            </w:r>
          </w:p>
        </w:tc>
      </w:tr>
      <w:tr w14:paraId="367AAB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0" w:hRule="atLeast"/>
        </w:trPr>
        <w:tc>
          <w:tcPr>
            <w:tcW w:w="1729" w:type="dxa"/>
            <w:gridSpan w:val="2"/>
            <w:tcBorders>
              <w:left w:val="nil"/>
            </w:tcBorders>
            <w:vAlign w:val="top"/>
          </w:tcPr>
          <w:p w14:paraId="26B80104">
            <w:pPr>
              <w:kinsoku w:val="0"/>
              <w:autoSpaceDE w:val="0"/>
              <w:autoSpaceDN w:val="0"/>
              <w:adjustRightInd w:val="0"/>
              <w:snapToGrid w:val="0"/>
              <w:spacing w:before="224" w:line="219" w:lineRule="auto"/>
              <w:ind w:left="389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10"/>
                <w:kern w:val="0"/>
                <w:sz w:val="27"/>
                <w:szCs w:val="27"/>
                <w:lang w:val="en-US" w:eastAsia="en-US" w:bidi="ar-SA"/>
              </w:rPr>
              <w:t>杂质(%)</w:t>
            </w:r>
          </w:p>
        </w:tc>
        <w:tc>
          <w:tcPr>
            <w:tcW w:w="2000" w:type="dxa"/>
            <w:vAlign w:val="top"/>
          </w:tcPr>
          <w:p w14:paraId="1B189B17">
            <w:pPr>
              <w:kinsoku w:val="0"/>
              <w:autoSpaceDE w:val="0"/>
              <w:autoSpaceDN w:val="0"/>
              <w:adjustRightInd w:val="0"/>
              <w:snapToGrid w:val="0"/>
              <w:spacing w:before="250" w:line="239" w:lineRule="auto"/>
              <w:ind w:left="72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7"/>
                <w:kern w:val="0"/>
                <w:sz w:val="27"/>
                <w:szCs w:val="27"/>
                <w:lang w:val="en-US" w:eastAsia="en-US" w:bidi="ar-SA"/>
              </w:rPr>
              <w:t>1.0%</w:t>
            </w:r>
          </w:p>
        </w:tc>
        <w:tc>
          <w:tcPr>
            <w:tcW w:w="2050" w:type="dxa"/>
            <w:vAlign w:val="top"/>
          </w:tcPr>
          <w:p w14:paraId="0B93FA59">
            <w:pPr>
              <w:kinsoku w:val="0"/>
              <w:autoSpaceDE w:val="0"/>
              <w:autoSpaceDN w:val="0"/>
              <w:adjustRightInd w:val="0"/>
              <w:snapToGrid w:val="0"/>
              <w:spacing w:before="247" w:line="236" w:lineRule="auto"/>
              <w:ind w:left="61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27"/>
                <w:szCs w:val="27"/>
                <w:lang w:val="en-US" w:eastAsia="en-US" w:bidi="ar-SA"/>
              </w:rPr>
              <w:t>≤1.0%</w:t>
            </w:r>
          </w:p>
        </w:tc>
        <w:tc>
          <w:tcPr>
            <w:tcW w:w="3070" w:type="dxa"/>
            <w:tcBorders>
              <w:right w:val="nil"/>
            </w:tcBorders>
            <w:vAlign w:val="top"/>
          </w:tcPr>
          <w:p w14:paraId="40A6E59E">
            <w:pPr>
              <w:kinsoku w:val="0"/>
              <w:autoSpaceDE w:val="0"/>
              <w:autoSpaceDN w:val="0"/>
              <w:adjustRightInd w:val="0"/>
              <w:snapToGrid w:val="0"/>
              <w:spacing w:before="82" w:line="211" w:lineRule="auto"/>
              <w:ind w:left="984" w:right="33" w:hanging="939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7"/>
                <w:szCs w:val="27"/>
                <w:lang w:val="en-US" w:eastAsia="en-US" w:bidi="ar-SA"/>
              </w:rPr>
              <w:t>过筛整理杂质带回，大于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3"/>
                <w:kern w:val="0"/>
                <w:sz w:val="27"/>
                <w:szCs w:val="27"/>
                <w:lang w:val="en-US" w:eastAsia="en-US" w:bidi="ar-SA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7"/>
                <w:szCs w:val="27"/>
                <w:lang w:val="en-US" w:eastAsia="en-US" w:bidi="ar-SA"/>
              </w:rPr>
              <w:t>2.5%拒收</w:t>
            </w:r>
          </w:p>
        </w:tc>
      </w:tr>
      <w:tr w14:paraId="44A19D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1729" w:type="dxa"/>
            <w:gridSpan w:val="2"/>
            <w:tcBorders>
              <w:left w:val="nil"/>
            </w:tcBorders>
            <w:vAlign w:val="top"/>
          </w:tcPr>
          <w:p w14:paraId="59D11C03">
            <w:pPr>
              <w:kinsoku w:val="0"/>
              <w:autoSpaceDE w:val="0"/>
              <w:autoSpaceDN w:val="0"/>
              <w:adjustRightInd w:val="0"/>
              <w:snapToGrid w:val="0"/>
              <w:spacing w:before="154" w:line="219" w:lineRule="auto"/>
              <w:ind w:left="249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10"/>
                <w:kern w:val="0"/>
                <w:sz w:val="27"/>
                <w:szCs w:val="27"/>
                <w:lang w:val="en-US" w:eastAsia="en-US" w:bidi="ar-SA"/>
              </w:rPr>
              <w:t>出糙率(%)</w:t>
            </w:r>
          </w:p>
        </w:tc>
        <w:tc>
          <w:tcPr>
            <w:tcW w:w="2000" w:type="dxa"/>
            <w:vAlign w:val="top"/>
          </w:tcPr>
          <w:p w14:paraId="7F6FC59C">
            <w:pPr>
              <w:kinsoku w:val="0"/>
              <w:autoSpaceDE w:val="0"/>
              <w:autoSpaceDN w:val="0"/>
              <w:adjustRightInd w:val="0"/>
              <w:snapToGrid w:val="0"/>
              <w:spacing w:before="180" w:line="239" w:lineRule="auto"/>
              <w:ind w:left="65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7"/>
                <w:szCs w:val="27"/>
                <w:lang w:val="en-US" w:eastAsia="en-US" w:bidi="ar-SA"/>
              </w:rPr>
              <w:t>75.0%</w:t>
            </w:r>
          </w:p>
        </w:tc>
        <w:tc>
          <w:tcPr>
            <w:tcW w:w="2050" w:type="dxa"/>
            <w:vAlign w:val="top"/>
          </w:tcPr>
          <w:p w14:paraId="7D4793A4">
            <w:pPr>
              <w:kinsoku w:val="0"/>
              <w:autoSpaceDE w:val="0"/>
              <w:autoSpaceDN w:val="0"/>
              <w:adjustRightInd w:val="0"/>
              <w:snapToGrid w:val="0"/>
              <w:spacing w:before="180" w:line="237" w:lineRule="auto"/>
              <w:ind w:left="54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27"/>
                <w:szCs w:val="27"/>
                <w:lang w:val="en-US" w:eastAsia="en-US" w:bidi="ar-SA"/>
              </w:rPr>
              <w:t>≥75.5%</w:t>
            </w:r>
          </w:p>
        </w:tc>
        <w:tc>
          <w:tcPr>
            <w:tcW w:w="3070" w:type="dxa"/>
            <w:tcBorders>
              <w:right w:val="nil"/>
            </w:tcBorders>
            <w:vAlign w:val="top"/>
          </w:tcPr>
          <w:p w14:paraId="5CEBD822">
            <w:pPr>
              <w:kinsoku w:val="0"/>
              <w:autoSpaceDE w:val="0"/>
              <w:autoSpaceDN w:val="0"/>
              <w:adjustRightInd w:val="0"/>
              <w:snapToGrid w:val="0"/>
              <w:spacing w:before="154" w:line="219" w:lineRule="auto"/>
              <w:ind w:left="64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7"/>
                <w:szCs w:val="27"/>
                <w:lang w:val="en-US" w:eastAsia="en-US" w:bidi="ar-SA"/>
              </w:rPr>
              <w:t>低于75.5%拒收</w:t>
            </w:r>
          </w:p>
        </w:tc>
      </w:tr>
      <w:tr w14:paraId="73A566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</w:trPr>
        <w:tc>
          <w:tcPr>
            <w:tcW w:w="1729" w:type="dxa"/>
            <w:gridSpan w:val="2"/>
            <w:tcBorders>
              <w:left w:val="nil"/>
            </w:tcBorders>
            <w:vAlign w:val="top"/>
          </w:tcPr>
          <w:p w14:paraId="55297DC1">
            <w:pPr>
              <w:kinsoku w:val="0"/>
              <w:autoSpaceDE w:val="0"/>
              <w:autoSpaceDN w:val="0"/>
              <w:adjustRightInd w:val="0"/>
              <w:snapToGrid w:val="0"/>
              <w:spacing w:before="82" w:line="219" w:lineRule="auto"/>
              <w:ind w:left="319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3"/>
                <w:kern w:val="0"/>
                <w:sz w:val="27"/>
                <w:szCs w:val="27"/>
                <w:lang w:val="en-US" w:eastAsia="en-US" w:bidi="ar-SA"/>
              </w:rPr>
              <w:t>整精米率</w:t>
            </w:r>
          </w:p>
          <w:p w14:paraId="235A5E32">
            <w:pPr>
              <w:kinsoku w:val="0"/>
              <w:autoSpaceDE w:val="0"/>
              <w:autoSpaceDN w:val="0"/>
              <w:adjustRightInd w:val="0"/>
              <w:snapToGrid w:val="0"/>
              <w:spacing w:before="46" w:line="219" w:lineRule="auto"/>
              <w:ind w:left="659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3"/>
                <w:kern w:val="0"/>
                <w:sz w:val="27"/>
                <w:szCs w:val="27"/>
                <w:lang w:val="en-US" w:eastAsia="en-US" w:bidi="ar-SA"/>
              </w:rPr>
              <w:t>(%)</w:t>
            </w:r>
          </w:p>
        </w:tc>
        <w:tc>
          <w:tcPr>
            <w:tcW w:w="2000" w:type="dxa"/>
            <w:vAlign w:val="top"/>
          </w:tcPr>
          <w:p w14:paraId="44B33969">
            <w:pPr>
              <w:kinsoku w:val="0"/>
              <w:autoSpaceDE w:val="0"/>
              <w:autoSpaceDN w:val="0"/>
              <w:adjustRightInd w:val="0"/>
              <w:snapToGrid w:val="0"/>
              <w:spacing w:before="268" w:line="222" w:lineRule="auto"/>
              <w:ind w:left="38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27"/>
                <w:szCs w:val="27"/>
                <w:lang w:val="en-US" w:eastAsia="en-US" w:bidi="ar-SA"/>
              </w:rPr>
              <w:t>44.0%以上</w:t>
            </w:r>
          </w:p>
        </w:tc>
        <w:tc>
          <w:tcPr>
            <w:tcW w:w="2050" w:type="dxa"/>
            <w:vAlign w:val="top"/>
          </w:tcPr>
          <w:p w14:paraId="17E65B8B">
            <w:pPr>
              <w:kinsoku w:val="0"/>
              <w:autoSpaceDE w:val="0"/>
              <w:autoSpaceDN w:val="0"/>
              <w:adjustRightInd w:val="0"/>
              <w:snapToGrid w:val="0"/>
              <w:spacing w:before="290" w:line="237" w:lineRule="auto"/>
              <w:ind w:left="54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7"/>
                <w:szCs w:val="27"/>
                <w:lang w:val="en-US" w:eastAsia="en-US" w:bidi="ar-SA"/>
              </w:rPr>
              <w:t>≥44.0%</w:t>
            </w:r>
          </w:p>
        </w:tc>
        <w:tc>
          <w:tcPr>
            <w:tcW w:w="3070" w:type="dxa"/>
            <w:tcBorders>
              <w:right w:val="nil"/>
            </w:tcBorders>
            <w:vAlign w:val="top"/>
          </w:tcPr>
          <w:p w14:paraId="7B3D35A2">
            <w:pPr>
              <w:kinsoku w:val="0"/>
              <w:autoSpaceDE w:val="0"/>
              <w:autoSpaceDN w:val="0"/>
              <w:adjustRightInd w:val="0"/>
              <w:snapToGrid w:val="0"/>
              <w:spacing w:before="264" w:line="219" w:lineRule="auto"/>
              <w:ind w:left="64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7"/>
                <w:szCs w:val="27"/>
                <w:lang w:val="en-US" w:eastAsia="en-US" w:bidi="ar-SA"/>
              </w:rPr>
              <w:t>低于44.0%拒收</w:t>
            </w:r>
          </w:p>
        </w:tc>
      </w:tr>
      <w:tr w14:paraId="31B1E9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9" w:hRule="atLeast"/>
        </w:trPr>
        <w:tc>
          <w:tcPr>
            <w:tcW w:w="1729" w:type="dxa"/>
            <w:gridSpan w:val="2"/>
            <w:tcBorders>
              <w:left w:val="nil"/>
            </w:tcBorders>
            <w:vAlign w:val="top"/>
          </w:tcPr>
          <w:p w14:paraId="75FD75D8">
            <w:pPr>
              <w:kinsoku w:val="0"/>
              <w:autoSpaceDE w:val="0"/>
              <w:autoSpaceDN w:val="0"/>
              <w:adjustRightInd w:val="0"/>
              <w:snapToGrid w:val="0"/>
              <w:spacing w:before="105" w:line="219" w:lineRule="auto"/>
              <w:ind w:left="319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3"/>
                <w:kern w:val="0"/>
                <w:sz w:val="27"/>
                <w:szCs w:val="27"/>
                <w:lang w:val="en-US" w:eastAsia="en-US" w:bidi="ar-SA"/>
              </w:rPr>
              <w:t>黄粒米率</w:t>
            </w:r>
          </w:p>
          <w:p w14:paraId="7C7EC2DB">
            <w:pPr>
              <w:kinsoku w:val="0"/>
              <w:autoSpaceDE w:val="0"/>
              <w:autoSpaceDN w:val="0"/>
              <w:adjustRightInd w:val="0"/>
              <w:snapToGrid w:val="0"/>
              <w:spacing w:before="3" w:line="205" w:lineRule="auto"/>
              <w:ind w:left="659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3"/>
                <w:kern w:val="0"/>
                <w:sz w:val="27"/>
                <w:szCs w:val="27"/>
                <w:lang w:val="en-US" w:eastAsia="en-US" w:bidi="ar-SA"/>
              </w:rPr>
              <w:t>(%)</w:t>
            </w:r>
          </w:p>
        </w:tc>
        <w:tc>
          <w:tcPr>
            <w:tcW w:w="2000" w:type="dxa"/>
            <w:vAlign w:val="top"/>
          </w:tcPr>
          <w:p w14:paraId="07C1C64F">
            <w:pPr>
              <w:kinsoku w:val="0"/>
              <w:autoSpaceDE w:val="0"/>
              <w:autoSpaceDN w:val="0"/>
              <w:adjustRightInd w:val="0"/>
              <w:snapToGrid w:val="0"/>
              <w:spacing w:before="271" w:line="239" w:lineRule="auto"/>
              <w:ind w:left="72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7"/>
                <w:kern w:val="0"/>
                <w:sz w:val="27"/>
                <w:szCs w:val="27"/>
                <w:lang w:val="en-US" w:eastAsia="en-US" w:bidi="ar-SA"/>
              </w:rPr>
              <w:t>1.0%</w:t>
            </w:r>
          </w:p>
        </w:tc>
        <w:tc>
          <w:tcPr>
            <w:tcW w:w="2050" w:type="dxa"/>
            <w:vAlign w:val="top"/>
          </w:tcPr>
          <w:p w14:paraId="5599C53D">
            <w:pPr>
              <w:kinsoku w:val="0"/>
              <w:autoSpaceDE w:val="0"/>
              <w:autoSpaceDN w:val="0"/>
              <w:adjustRightInd w:val="0"/>
              <w:snapToGrid w:val="0"/>
              <w:spacing w:before="268" w:line="236" w:lineRule="auto"/>
              <w:ind w:left="61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27"/>
                <w:szCs w:val="27"/>
                <w:lang w:val="en-US" w:eastAsia="en-US" w:bidi="ar-SA"/>
              </w:rPr>
              <w:t>≤1.0%</w:t>
            </w:r>
          </w:p>
        </w:tc>
        <w:tc>
          <w:tcPr>
            <w:tcW w:w="3070" w:type="dxa"/>
            <w:tcBorders>
              <w:right w:val="nil"/>
            </w:tcBorders>
            <w:vAlign w:val="top"/>
          </w:tcPr>
          <w:p w14:paraId="39752412">
            <w:pPr>
              <w:kinsoku w:val="0"/>
              <w:autoSpaceDE w:val="0"/>
              <w:autoSpaceDN w:val="0"/>
              <w:adjustRightInd w:val="0"/>
              <w:snapToGrid w:val="0"/>
              <w:spacing w:before="245" w:line="219" w:lineRule="auto"/>
              <w:ind w:left="71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404060"/>
                <w:spacing w:val="1"/>
                <w:kern w:val="0"/>
                <w:sz w:val="27"/>
                <w:szCs w:val="27"/>
                <w:lang w:val="en-US" w:eastAsia="en-US" w:bidi="ar-SA"/>
              </w:rPr>
              <w:t>高于1.0%拒收</w:t>
            </w:r>
          </w:p>
        </w:tc>
      </w:tr>
      <w:tr w14:paraId="05E958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1729" w:type="dxa"/>
            <w:gridSpan w:val="2"/>
            <w:tcBorders>
              <w:left w:val="nil"/>
            </w:tcBorders>
            <w:vAlign w:val="top"/>
          </w:tcPr>
          <w:p w14:paraId="49D749CA">
            <w:pPr>
              <w:kinsoku w:val="0"/>
              <w:autoSpaceDE w:val="0"/>
              <w:autoSpaceDN w:val="0"/>
              <w:adjustRightInd w:val="0"/>
              <w:snapToGrid w:val="0"/>
              <w:spacing w:before="96" w:line="219" w:lineRule="auto"/>
              <w:ind w:left="319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2"/>
                <w:kern w:val="0"/>
                <w:sz w:val="27"/>
                <w:szCs w:val="27"/>
                <w:lang w:val="en-US" w:eastAsia="en-US" w:bidi="ar-SA"/>
              </w:rPr>
              <w:t>谷外糙米</w:t>
            </w:r>
          </w:p>
          <w:p w14:paraId="4FF442B9">
            <w:pPr>
              <w:kinsoku w:val="0"/>
              <w:autoSpaceDE w:val="0"/>
              <w:autoSpaceDN w:val="0"/>
              <w:adjustRightInd w:val="0"/>
              <w:snapToGrid w:val="0"/>
              <w:spacing w:before="23" w:line="211" w:lineRule="auto"/>
              <w:ind w:left="659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3"/>
                <w:kern w:val="0"/>
                <w:sz w:val="27"/>
                <w:szCs w:val="27"/>
                <w:lang w:val="en-US" w:eastAsia="en-US" w:bidi="ar-SA"/>
              </w:rPr>
              <w:t>(%)</w:t>
            </w:r>
          </w:p>
        </w:tc>
        <w:tc>
          <w:tcPr>
            <w:tcW w:w="2000" w:type="dxa"/>
            <w:vAlign w:val="top"/>
          </w:tcPr>
          <w:p w14:paraId="1691FC21">
            <w:pPr>
              <w:kinsoku w:val="0"/>
              <w:autoSpaceDE w:val="0"/>
              <w:autoSpaceDN w:val="0"/>
              <w:adjustRightInd w:val="0"/>
              <w:snapToGrid w:val="0"/>
              <w:spacing w:before="282" w:line="239" w:lineRule="auto"/>
              <w:ind w:left="72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27"/>
                <w:szCs w:val="27"/>
                <w:lang w:val="en-US" w:eastAsia="en-US" w:bidi="ar-SA"/>
              </w:rPr>
              <w:t>2.0%</w:t>
            </w:r>
          </w:p>
        </w:tc>
        <w:tc>
          <w:tcPr>
            <w:tcW w:w="2050" w:type="dxa"/>
            <w:vAlign w:val="top"/>
          </w:tcPr>
          <w:p w14:paraId="182A4635">
            <w:pPr>
              <w:kinsoku w:val="0"/>
              <w:autoSpaceDE w:val="0"/>
              <w:autoSpaceDN w:val="0"/>
              <w:adjustRightInd w:val="0"/>
              <w:snapToGrid w:val="0"/>
              <w:spacing w:before="279" w:line="236" w:lineRule="auto"/>
              <w:ind w:left="61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27"/>
                <w:szCs w:val="27"/>
                <w:lang w:val="en-US" w:eastAsia="en-US" w:bidi="ar-SA"/>
              </w:rPr>
              <w:t>≤2.0%</w:t>
            </w:r>
          </w:p>
        </w:tc>
        <w:tc>
          <w:tcPr>
            <w:tcW w:w="3070" w:type="dxa"/>
            <w:tcBorders>
              <w:right w:val="nil"/>
            </w:tcBorders>
            <w:vAlign w:val="top"/>
          </w:tcPr>
          <w:p w14:paraId="21FE0752">
            <w:pPr>
              <w:kinsoku w:val="0"/>
              <w:autoSpaceDE w:val="0"/>
              <w:autoSpaceDN w:val="0"/>
              <w:adjustRightInd w:val="0"/>
              <w:snapToGrid w:val="0"/>
              <w:spacing w:before="256" w:line="219" w:lineRule="auto"/>
              <w:ind w:left="71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7"/>
                <w:szCs w:val="27"/>
                <w:lang w:val="en-US" w:eastAsia="en-US" w:bidi="ar-SA"/>
              </w:rPr>
              <w:t>高于2.5%拒收</w:t>
            </w:r>
          </w:p>
        </w:tc>
      </w:tr>
      <w:tr w14:paraId="0D8D60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729" w:type="dxa"/>
            <w:gridSpan w:val="2"/>
            <w:tcBorders>
              <w:left w:val="nil"/>
            </w:tcBorders>
            <w:vAlign w:val="top"/>
          </w:tcPr>
          <w:p w14:paraId="698B160D">
            <w:pPr>
              <w:kinsoku w:val="0"/>
              <w:autoSpaceDE w:val="0"/>
              <w:autoSpaceDN w:val="0"/>
              <w:adjustRightInd w:val="0"/>
              <w:snapToGrid w:val="0"/>
              <w:spacing w:before="157" w:line="219" w:lineRule="auto"/>
              <w:ind w:left="249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10"/>
                <w:kern w:val="0"/>
                <w:sz w:val="27"/>
                <w:szCs w:val="27"/>
                <w:lang w:val="en-US" w:eastAsia="en-US" w:bidi="ar-SA"/>
              </w:rPr>
              <w:t>互混率(%)</w:t>
            </w:r>
          </w:p>
        </w:tc>
        <w:tc>
          <w:tcPr>
            <w:tcW w:w="2000" w:type="dxa"/>
            <w:vAlign w:val="top"/>
          </w:tcPr>
          <w:p w14:paraId="561013A5">
            <w:pPr>
              <w:kinsoku w:val="0"/>
              <w:autoSpaceDE w:val="0"/>
              <w:autoSpaceDN w:val="0"/>
              <w:adjustRightInd w:val="0"/>
              <w:snapToGrid w:val="0"/>
              <w:spacing w:before="183" w:line="239" w:lineRule="auto"/>
              <w:ind w:left="72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7"/>
                <w:szCs w:val="27"/>
                <w:lang w:val="en-US" w:eastAsia="en-US" w:bidi="ar-SA"/>
              </w:rPr>
              <w:t>5.0%</w:t>
            </w:r>
          </w:p>
        </w:tc>
        <w:tc>
          <w:tcPr>
            <w:tcW w:w="2050" w:type="dxa"/>
            <w:vAlign w:val="top"/>
          </w:tcPr>
          <w:p w14:paraId="51F47673">
            <w:pPr>
              <w:kinsoku w:val="0"/>
              <w:autoSpaceDE w:val="0"/>
              <w:autoSpaceDN w:val="0"/>
              <w:adjustRightInd w:val="0"/>
              <w:snapToGrid w:val="0"/>
              <w:spacing w:before="180" w:line="236" w:lineRule="auto"/>
              <w:ind w:left="61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5"/>
                <w:kern w:val="0"/>
                <w:sz w:val="27"/>
                <w:szCs w:val="27"/>
                <w:lang w:val="en-US" w:eastAsia="en-US" w:bidi="ar-SA"/>
              </w:rPr>
              <w:t>≤5.0%</w:t>
            </w:r>
          </w:p>
        </w:tc>
        <w:tc>
          <w:tcPr>
            <w:tcW w:w="3070" w:type="dxa"/>
            <w:tcBorders>
              <w:right w:val="nil"/>
            </w:tcBorders>
            <w:vAlign w:val="top"/>
          </w:tcPr>
          <w:p w14:paraId="07AA6316">
            <w:pPr>
              <w:kinsoku w:val="0"/>
              <w:autoSpaceDE w:val="0"/>
              <w:autoSpaceDN w:val="0"/>
              <w:adjustRightInd w:val="0"/>
              <w:snapToGrid w:val="0"/>
              <w:spacing w:before="157" w:line="219" w:lineRule="auto"/>
              <w:ind w:left="71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7"/>
                <w:szCs w:val="27"/>
                <w:lang w:val="en-US" w:eastAsia="en-US" w:bidi="ar-SA"/>
              </w:rPr>
              <w:t>高于5.0%拒收</w:t>
            </w:r>
          </w:p>
        </w:tc>
      </w:tr>
      <w:tr w14:paraId="67FF6A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9" w:hRule="atLeast"/>
        </w:trPr>
        <w:tc>
          <w:tcPr>
            <w:tcW w:w="630" w:type="dxa"/>
            <w:vMerge w:val="restart"/>
            <w:tcBorders>
              <w:left w:val="nil"/>
              <w:bottom w:val="nil"/>
            </w:tcBorders>
            <w:textDirection w:val="tbRlV"/>
            <w:vAlign w:val="top"/>
          </w:tcPr>
          <w:p w14:paraId="0E16D069">
            <w:pPr>
              <w:kinsoku w:val="0"/>
              <w:autoSpaceDE w:val="0"/>
              <w:autoSpaceDN w:val="0"/>
              <w:adjustRightInd w:val="0"/>
              <w:snapToGrid w:val="0"/>
              <w:spacing w:before="176" w:line="201" w:lineRule="auto"/>
              <w:ind w:left="67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7"/>
                <w:kern w:val="0"/>
                <w:sz w:val="27"/>
                <w:szCs w:val="27"/>
                <w:lang w:val="en-US" w:eastAsia="en-US" w:bidi="ar-SA"/>
              </w:rPr>
              <w:t>重金属</w:t>
            </w:r>
          </w:p>
        </w:tc>
        <w:tc>
          <w:tcPr>
            <w:tcW w:w="1099" w:type="dxa"/>
            <w:vAlign w:val="top"/>
          </w:tcPr>
          <w:p w14:paraId="42A48B12">
            <w:pPr>
              <w:kinsoku w:val="0"/>
              <w:autoSpaceDE w:val="0"/>
              <w:autoSpaceDN w:val="0"/>
              <w:adjustRightInd w:val="0"/>
              <w:snapToGrid w:val="0"/>
              <w:spacing w:before="238" w:line="224" w:lineRule="auto"/>
              <w:ind w:left="434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  <w:t>铅</w:t>
            </w:r>
          </w:p>
        </w:tc>
        <w:tc>
          <w:tcPr>
            <w:tcW w:w="2000" w:type="dxa"/>
            <w:vAlign w:val="top"/>
          </w:tcPr>
          <w:p w14:paraId="5E080C20">
            <w:pPr>
              <w:kinsoku w:val="0"/>
              <w:autoSpaceDE w:val="0"/>
              <w:autoSpaceDN w:val="0"/>
              <w:adjustRightInd w:val="0"/>
              <w:snapToGrid w:val="0"/>
              <w:spacing w:before="197" w:line="214" w:lineRule="auto"/>
              <w:ind w:left="45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27"/>
                <w:szCs w:val="27"/>
                <w:lang w:val="en-US" w:eastAsia="en-US" w:bidi="ar-SA"/>
              </w:rPr>
              <w:t>0.2mg/kg</w:t>
            </w:r>
          </w:p>
        </w:tc>
        <w:tc>
          <w:tcPr>
            <w:tcW w:w="2050" w:type="dxa"/>
            <w:vAlign w:val="top"/>
          </w:tcPr>
          <w:p w14:paraId="626A7A10">
            <w:pPr>
              <w:kinsoku w:val="0"/>
              <w:autoSpaceDE w:val="0"/>
              <w:autoSpaceDN w:val="0"/>
              <w:adjustRightInd w:val="0"/>
              <w:snapToGrid w:val="0"/>
              <w:spacing w:before="197" w:line="214" w:lineRule="auto"/>
              <w:ind w:left="34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7"/>
                <w:szCs w:val="27"/>
                <w:lang w:val="en-US" w:eastAsia="en-US" w:bidi="ar-SA"/>
              </w:rPr>
              <w:t>&lt;0.2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35"/>
                <w:kern w:val="0"/>
                <w:sz w:val="27"/>
                <w:szCs w:val="27"/>
                <w:lang w:val="en-US" w:eastAsia="en-US" w:bidi="ar-SA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7"/>
                <w:szCs w:val="27"/>
                <w:lang w:val="en-US" w:eastAsia="en-US" w:bidi="ar-SA"/>
              </w:rPr>
              <w:t>mg/kg</w:t>
            </w:r>
          </w:p>
        </w:tc>
        <w:tc>
          <w:tcPr>
            <w:tcW w:w="3070" w:type="dxa"/>
            <w:tcBorders>
              <w:right w:val="nil"/>
            </w:tcBorders>
            <w:vAlign w:val="top"/>
          </w:tcPr>
          <w:p w14:paraId="357FEA5F">
            <w:pPr>
              <w:kinsoku w:val="0"/>
              <w:autoSpaceDE w:val="0"/>
              <w:autoSpaceDN w:val="0"/>
              <w:adjustRightInd w:val="0"/>
              <w:snapToGrid w:val="0"/>
              <w:spacing w:before="68" w:line="204" w:lineRule="auto"/>
              <w:ind w:left="31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303050"/>
                <w:spacing w:val="-1"/>
                <w:kern w:val="0"/>
                <w:sz w:val="27"/>
                <w:szCs w:val="27"/>
                <w:lang w:val="en-US" w:eastAsia="en-US" w:bidi="ar-SA"/>
              </w:rPr>
              <w:t>达到或超过国标限量</w:t>
            </w:r>
          </w:p>
          <w:p w14:paraId="58F9B187">
            <w:pPr>
              <w:kinsoku w:val="0"/>
              <w:autoSpaceDE w:val="0"/>
              <w:autoSpaceDN w:val="0"/>
              <w:adjustRightInd w:val="0"/>
              <w:snapToGrid w:val="0"/>
              <w:spacing w:line="193" w:lineRule="auto"/>
              <w:ind w:left="58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304060"/>
                <w:spacing w:val="1"/>
                <w:kern w:val="0"/>
                <w:sz w:val="27"/>
                <w:szCs w:val="27"/>
                <w:lang w:val="en-US" w:eastAsia="en-US" w:bidi="ar-SA"/>
              </w:rPr>
              <w:t>拒收，且不复检</w:t>
            </w:r>
          </w:p>
        </w:tc>
      </w:tr>
      <w:tr w14:paraId="261EDD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9" w:hRule="atLeast"/>
        </w:trPr>
        <w:tc>
          <w:tcPr>
            <w:tcW w:w="630" w:type="dxa"/>
            <w:vMerge w:val="continue"/>
            <w:tcBorders>
              <w:top w:val="nil"/>
              <w:left w:val="nil"/>
              <w:bottom w:val="nil"/>
            </w:tcBorders>
            <w:textDirection w:val="tbRlV"/>
            <w:vAlign w:val="top"/>
          </w:tcPr>
          <w:p w14:paraId="2A2564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1099" w:type="dxa"/>
            <w:vAlign w:val="top"/>
          </w:tcPr>
          <w:p w14:paraId="4BADA0FB">
            <w:pPr>
              <w:kinsoku w:val="0"/>
              <w:autoSpaceDE w:val="0"/>
              <w:autoSpaceDN w:val="0"/>
              <w:adjustRightInd w:val="0"/>
              <w:snapToGrid w:val="0"/>
              <w:spacing w:before="258" w:line="222" w:lineRule="auto"/>
              <w:ind w:left="434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  <w:t>镉</w:t>
            </w:r>
          </w:p>
        </w:tc>
        <w:tc>
          <w:tcPr>
            <w:tcW w:w="2000" w:type="dxa"/>
            <w:vAlign w:val="top"/>
          </w:tcPr>
          <w:p w14:paraId="6EEE576E">
            <w:pPr>
              <w:kinsoku w:val="0"/>
              <w:autoSpaceDE w:val="0"/>
              <w:autoSpaceDN w:val="0"/>
              <w:adjustRightInd w:val="0"/>
              <w:snapToGrid w:val="0"/>
              <w:spacing w:before="218" w:line="214" w:lineRule="auto"/>
              <w:ind w:left="45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27"/>
                <w:szCs w:val="27"/>
                <w:lang w:val="en-US" w:eastAsia="en-US" w:bidi="ar-SA"/>
              </w:rPr>
              <w:t>0.2mg/kg</w:t>
            </w:r>
          </w:p>
        </w:tc>
        <w:tc>
          <w:tcPr>
            <w:tcW w:w="2050" w:type="dxa"/>
            <w:vAlign w:val="top"/>
          </w:tcPr>
          <w:p w14:paraId="2A72EDC5">
            <w:pPr>
              <w:kinsoku w:val="0"/>
              <w:autoSpaceDE w:val="0"/>
              <w:autoSpaceDN w:val="0"/>
              <w:adjustRightInd w:val="0"/>
              <w:snapToGrid w:val="0"/>
              <w:spacing w:before="218" w:line="214" w:lineRule="auto"/>
              <w:ind w:left="34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7"/>
                <w:szCs w:val="27"/>
                <w:lang w:val="en-US" w:eastAsia="en-US" w:bidi="ar-SA"/>
              </w:rPr>
              <w:t>&lt;0.2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35"/>
                <w:kern w:val="0"/>
                <w:sz w:val="27"/>
                <w:szCs w:val="27"/>
                <w:lang w:val="en-US" w:eastAsia="en-US" w:bidi="ar-SA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7"/>
                <w:szCs w:val="27"/>
                <w:lang w:val="en-US" w:eastAsia="en-US" w:bidi="ar-SA"/>
              </w:rPr>
              <w:t>mg/kg</w:t>
            </w:r>
          </w:p>
        </w:tc>
        <w:tc>
          <w:tcPr>
            <w:tcW w:w="3070" w:type="dxa"/>
            <w:tcBorders>
              <w:right w:val="nil"/>
            </w:tcBorders>
            <w:vAlign w:val="top"/>
          </w:tcPr>
          <w:p w14:paraId="5AECA099">
            <w:pPr>
              <w:kinsoku w:val="0"/>
              <w:autoSpaceDE w:val="0"/>
              <w:autoSpaceDN w:val="0"/>
              <w:adjustRightInd w:val="0"/>
              <w:snapToGrid w:val="0"/>
              <w:spacing w:before="98" w:line="202" w:lineRule="auto"/>
              <w:ind w:left="585" w:right="328" w:hanging="27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27"/>
                <w:szCs w:val="27"/>
                <w:lang w:val="en-US" w:eastAsia="en-US" w:bidi="ar-SA"/>
              </w:rPr>
              <w:t>达到或超过国标限量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7"/>
                <w:kern w:val="0"/>
                <w:sz w:val="27"/>
                <w:szCs w:val="27"/>
                <w:lang w:val="en-US" w:eastAsia="en-US" w:bidi="ar-SA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7"/>
                <w:szCs w:val="27"/>
                <w:lang w:val="en-US" w:eastAsia="en-US" w:bidi="ar-SA"/>
              </w:rPr>
              <w:t>拒收，且不复检</w:t>
            </w:r>
          </w:p>
        </w:tc>
      </w:tr>
      <w:tr w14:paraId="7E6CEC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9" w:hRule="atLeast"/>
        </w:trPr>
        <w:tc>
          <w:tcPr>
            <w:tcW w:w="630" w:type="dxa"/>
            <w:vMerge w:val="continue"/>
            <w:tcBorders>
              <w:top w:val="nil"/>
              <w:left w:val="nil"/>
            </w:tcBorders>
            <w:textDirection w:val="tbRlV"/>
            <w:vAlign w:val="top"/>
          </w:tcPr>
          <w:p w14:paraId="7808C307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1099" w:type="dxa"/>
            <w:vAlign w:val="top"/>
          </w:tcPr>
          <w:p w14:paraId="2005A210">
            <w:pPr>
              <w:kinsoku w:val="0"/>
              <w:autoSpaceDE w:val="0"/>
              <w:autoSpaceDN w:val="0"/>
              <w:adjustRightInd w:val="0"/>
              <w:snapToGrid w:val="0"/>
              <w:spacing w:before="277" w:line="219" w:lineRule="auto"/>
              <w:ind w:left="134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4"/>
                <w:kern w:val="0"/>
                <w:sz w:val="27"/>
                <w:szCs w:val="27"/>
                <w:lang w:val="en-US" w:eastAsia="en-US" w:bidi="ar-SA"/>
              </w:rPr>
              <w:t>无机砷</w:t>
            </w:r>
          </w:p>
        </w:tc>
        <w:tc>
          <w:tcPr>
            <w:tcW w:w="2000" w:type="dxa"/>
            <w:vAlign w:val="top"/>
          </w:tcPr>
          <w:p w14:paraId="6DF42781">
            <w:pPr>
              <w:kinsoku w:val="0"/>
              <w:autoSpaceDE w:val="0"/>
              <w:autoSpaceDN w:val="0"/>
              <w:adjustRightInd w:val="0"/>
              <w:snapToGrid w:val="0"/>
              <w:spacing w:before="269" w:line="214" w:lineRule="auto"/>
              <w:ind w:left="38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27"/>
                <w:szCs w:val="27"/>
                <w:lang w:val="en-US" w:eastAsia="en-US" w:bidi="ar-SA"/>
              </w:rPr>
              <w:t>0.35mg/kg</w:t>
            </w:r>
          </w:p>
        </w:tc>
        <w:tc>
          <w:tcPr>
            <w:tcW w:w="2050" w:type="dxa"/>
            <w:vAlign w:val="top"/>
          </w:tcPr>
          <w:p w14:paraId="52D67EB0">
            <w:pPr>
              <w:kinsoku w:val="0"/>
              <w:autoSpaceDE w:val="0"/>
              <w:autoSpaceDN w:val="0"/>
              <w:adjustRightInd w:val="0"/>
              <w:snapToGrid w:val="0"/>
              <w:spacing w:before="269" w:line="214" w:lineRule="auto"/>
              <w:ind w:left="27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27"/>
                <w:szCs w:val="27"/>
                <w:lang w:val="en-US" w:eastAsia="en-US" w:bidi="ar-SA"/>
              </w:rPr>
              <w:t>&lt;0.35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23"/>
                <w:kern w:val="0"/>
                <w:sz w:val="27"/>
                <w:szCs w:val="27"/>
                <w:lang w:val="en-US" w:eastAsia="en-US" w:bidi="ar-SA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27"/>
                <w:szCs w:val="27"/>
                <w:lang w:val="en-US" w:eastAsia="en-US" w:bidi="ar-SA"/>
              </w:rPr>
              <w:t>mg/kg</w:t>
            </w:r>
          </w:p>
        </w:tc>
        <w:tc>
          <w:tcPr>
            <w:tcW w:w="3070" w:type="dxa"/>
            <w:tcBorders>
              <w:right w:val="nil"/>
            </w:tcBorders>
            <w:vAlign w:val="top"/>
          </w:tcPr>
          <w:p w14:paraId="1745DD27">
            <w:pPr>
              <w:kinsoku w:val="0"/>
              <w:autoSpaceDE w:val="0"/>
              <w:autoSpaceDN w:val="0"/>
              <w:adjustRightInd w:val="0"/>
              <w:snapToGrid w:val="0"/>
              <w:spacing w:before="140" w:line="215" w:lineRule="auto"/>
              <w:ind w:left="585" w:right="328" w:hanging="270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27"/>
                <w:szCs w:val="27"/>
                <w:lang w:val="en-US" w:eastAsia="en-US" w:bidi="ar-SA"/>
              </w:rPr>
              <w:t>达到或超过国标限量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7"/>
                <w:kern w:val="0"/>
                <w:sz w:val="27"/>
                <w:szCs w:val="27"/>
                <w:lang w:val="en-US" w:eastAsia="en-US" w:bidi="ar-SA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7"/>
                <w:szCs w:val="27"/>
                <w:lang w:val="en-US" w:eastAsia="en-US" w:bidi="ar-SA"/>
              </w:rPr>
              <w:t>拒收，且不复检</w:t>
            </w:r>
          </w:p>
        </w:tc>
      </w:tr>
      <w:tr w14:paraId="38CC3D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1729" w:type="dxa"/>
            <w:gridSpan w:val="2"/>
            <w:tcBorders>
              <w:left w:val="nil"/>
            </w:tcBorders>
            <w:vAlign w:val="top"/>
          </w:tcPr>
          <w:p w14:paraId="46731571">
            <w:pPr>
              <w:kinsoku w:val="0"/>
              <w:autoSpaceDE w:val="0"/>
              <w:autoSpaceDN w:val="0"/>
              <w:adjustRightInd w:val="0"/>
              <w:snapToGrid w:val="0"/>
              <w:spacing w:before="260" w:line="220" w:lineRule="auto"/>
              <w:ind w:left="189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2"/>
                <w:kern w:val="0"/>
                <w:sz w:val="27"/>
                <w:szCs w:val="27"/>
                <w:lang w:val="en-US" w:eastAsia="en-US" w:bidi="ar-SA"/>
              </w:rPr>
              <w:t>色泽、气味</w:t>
            </w:r>
          </w:p>
        </w:tc>
        <w:tc>
          <w:tcPr>
            <w:tcW w:w="2000" w:type="dxa"/>
            <w:vAlign w:val="top"/>
          </w:tcPr>
          <w:p w14:paraId="5289DB7A">
            <w:pPr>
              <w:kinsoku w:val="0"/>
              <w:autoSpaceDE w:val="0"/>
              <w:autoSpaceDN w:val="0"/>
              <w:adjustRightInd w:val="0"/>
              <w:snapToGrid w:val="0"/>
              <w:spacing w:before="260" w:line="220" w:lineRule="auto"/>
              <w:ind w:left="72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7"/>
                <w:kern w:val="0"/>
                <w:sz w:val="27"/>
                <w:szCs w:val="27"/>
                <w:lang w:val="en-US" w:eastAsia="en-US" w:bidi="ar-SA"/>
              </w:rPr>
              <w:t>正常</w:t>
            </w:r>
          </w:p>
        </w:tc>
        <w:tc>
          <w:tcPr>
            <w:tcW w:w="2050" w:type="dxa"/>
            <w:vAlign w:val="top"/>
          </w:tcPr>
          <w:p w14:paraId="4D68E8D1">
            <w:pPr>
              <w:kinsoku w:val="0"/>
              <w:autoSpaceDE w:val="0"/>
              <w:autoSpaceDN w:val="0"/>
              <w:adjustRightInd w:val="0"/>
              <w:snapToGrid w:val="0"/>
              <w:spacing w:before="260" w:line="220" w:lineRule="auto"/>
              <w:ind w:left="34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3"/>
                <w:kern w:val="0"/>
                <w:sz w:val="27"/>
                <w:szCs w:val="27"/>
                <w:lang w:val="en-US" w:eastAsia="en-US" w:bidi="ar-SA"/>
              </w:rPr>
              <w:t>正常、无虫</w:t>
            </w:r>
          </w:p>
        </w:tc>
        <w:tc>
          <w:tcPr>
            <w:tcW w:w="3070" w:type="dxa"/>
            <w:tcBorders>
              <w:right w:val="nil"/>
            </w:tcBorders>
            <w:vAlign w:val="top"/>
          </w:tcPr>
          <w:p w14:paraId="07D43450">
            <w:pPr>
              <w:kinsoku w:val="0"/>
              <w:autoSpaceDE w:val="0"/>
              <w:autoSpaceDN w:val="0"/>
              <w:adjustRightInd w:val="0"/>
              <w:snapToGrid w:val="0"/>
              <w:spacing w:before="130" w:line="211" w:lineRule="auto"/>
              <w:ind w:left="31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304040"/>
                <w:spacing w:val="1"/>
                <w:kern w:val="0"/>
                <w:sz w:val="27"/>
                <w:szCs w:val="27"/>
                <w:lang w:val="en-US" w:eastAsia="en-US" w:bidi="ar-SA"/>
              </w:rPr>
              <w:t>气味异常或达到一般</w:t>
            </w:r>
          </w:p>
          <w:p w14:paraId="78B0C182">
            <w:pPr>
              <w:kinsoku w:val="0"/>
              <w:autoSpaceDE w:val="0"/>
              <w:autoSpaceDN w:val="0"/>
              <w:adjustRightInd w:val="0"/>
              <w:snapToGrid w:val="0"/>
              <w:spacing w:line="212" w:lineRule="auto"/>
              <w:ind w:left="37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303050"/>
                <w:spacing w:val="2"/>
                <w:kern w:val="0"/>
                <w:sz w:val="27"/>
                <w:szCs w:val="27"/>
                <w:lang w:val="en-US" w:eastAsia="en-US" w:bidi="ar-SA"/>
              </w:rPr>
              <w:t>虫粮拒收</w:t>
            </w:r>
          </w:p>
        </w:tc>
      </w:tr>
      <w:tr w14:paraId="3C32BC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4" w:hRule="atLeast"/>
        </w:trPr>
        <w:tc>
          <w:tcPr>
            <w:tcW w:w="1729" w:type="dxa"/>
            <w:gridSpan w:val="2"/>
            <w:tcBorders>
              <w:left w:val="nil"/>
            </w:tcBorders>
            <w:vAlign w:val="top"/>
          </w:tcPr>
          <w:p w14:paraId="52E0812B">
            <w:pPr>
              <w:kinsoku w:val="0"/>
              <w:autoSpaceDE w:val="0"/>
              <w:autoSpaceDN w:val="0"/>
              <w:adjustRightInd w:val="0"/>
              <w:snapToGrid w:val="0"/>
              <w:spacing w:before="141" w:line="219" w:lineRule="auto"/>
              <w:ind w:left="189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2"/>
                <w:kern w:val="0"/>
                <w:sz w:val="27"/>
                <w:szCs w:val="27"/>
                <w:lang w:val="en-US" w:eastAsia="en-US" w:bidi="ar-SA"/>
              </w:rPr>
              <w:t>黄曲霉毒素</w:t>
            </w:r>
          </w:p>
          <w:p w14:paraId="5C4CFFF9">
            <w:pPr>
              <w:kinsoku w:val="0"/>
              <w:autoSpaceDE w:val="0"/>
              <w:autoSpaceDN w:val="0"/>
              <w:adjustRightInd w:val="0"/>
              <w:snapToGrid w:val="0"/>
              <w:spacing w:before="98" w:line="214" w:lineRule="exact"/>
              <w:ind w:left="729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position w:val="-3"/>
                <w:sz w:val="27"/>
                <w:szCs w:val="27"/>
                <w:lang w:val="en-US" w:eastAsia="en-US" w:bidi="ar-SA"/>
              </w:rPr>
              <w:t>B1</w:t>
            </w:r>
          </w:p>
        </w:tc>
        <w:tc>
          <w:tcPr>
            <w:tcW w:w="2000" w:type="dxa"/>
            <w:vAlign w:val="top"/>
          </w:tcPr>
          <w:p w14:paraId="2D6AFFAD">
            <w:pPr>
              <w:kinsoku w:val="0"/>
              <w:autoSpaceDE w:val="0"/>
              <w:autoSpaceDN w:val="0"/>
              <w:adjustRightInd w:val="0"/>
              <w:snapToGrid w:val="0"/>
              <w:spacing w:before="261" w:line="214" w:lineRule="auto"/>
              <w:ind w:left="45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4"/>
                <w:kern w:val="0"/>
                <w:sz w:val="27"/>
                <w:szCs w:val="27"/>
                <w:lang w:val="en-US" w:eastAsia="en-US" w:bidi="ar-SA"/>
              </w:rPr>
              <w:t>10μg/kg</w:t>
            </w:r>
          </w:p>
        </w:tc>
        <w:tc>
          <w:tcPr>
            <w:tcW w:w="2050" w:type="dxa"/>
            <w:vAlign w:val="top"/>
          </w:tcPr>
          <w:p w14:paraId="11AD6F49">
            <w:pPr>
              <w:kinsoku w:val="0"/>
              <w:autoSpaceDE w:val="0"/>
              <w:autoSpaceDN w:val="0"/>
              <w:adjustRightInd w:val="0"/>
              <w:snapToGrid w:val="0"/>
              <w:spacing w:before="261" w:line="214" w:lineRule="auto"/>
              <w:ind w:left="40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27"/>
                <w:szCs w:val="27"/>
                <w:lang w:val="en-US" w:eastAsia="en-US" w:bidi="ar-SA"/>
              </w:rPr>
              <w:t>&lt;10μg/kg</w:t>
            </w:r>
          </w:p>
        </w:tc>
        <w:tc>
          <w:tcPr>
            <w:tcW w:w="3070" w:type="dxa"/>
            <w:tcBorders>
              <w:right w:val="nil"/>
            </w:tcBorders>
            <w:vAlign w:val="top"/>
          </w:tcPr>
          <w:p w14:paraId="056A6A15">
            <w:pPr>
              <w:kinsoku w:val="0"/>
              <w:autoSpaceDE w:val="0"/>
              <w:autoSpaceDN w:val="0"/>
              <w:adjustRightInd w:val="0"/>
              <w:snapToGrid w:val="0"/>
              <w:spacing w:before="142" w:line="211" w:lineRule="auto"/>
              <w:ind w:left="31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203040"/>
                <w:spacing w:val="-1"/>
                <w:kern w:val="0"/>
                <w:sz w:val="27"/>
                <w:szCs w:val="27"/>
                <w:lang w:val="en-US" w:eastAsia="en-US" w:bidi="ar-SA"/>
              </w:rPr>
              <w:t>达到或超过国标限量</w:t>
            </w:r>
          </w:p>
          <w:p w14:paraId="503C5534">
            <w:pPr>
              <w:kinsoku w:val="0"/>
              <w:autoSpaceDE w:val="0"/>
              <w:autoSpaceDN w:val="0"/>
              <w:adjustRightInd w:val="0"/>
              <w:snapToGrid w:val="0"/>
              <w:spacing w:line="219" w:lineRule="auto"/>
              <w:ind w:left="355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7"/>
                <w:szCs w:val="27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304050"/>
                <w:spacing w:val="5"/>
                <w:kern w:val="0"/>
                <w:sz w:val="27"/>
                <w:szCs w:val="27"/>
                <w:lang w:val="en-US" w:eastAsia="en-US" w:bidi="ar-SA"/>
              </w:rPr>
              <w:t>拒收</w:t>
            </w:r>
          </w:p>
        </w:tc>
      </w:tr>
    </w:tbl>
    <w:p w14:paraId="258B4439">
      <w:pPr>
        <w:widowControl/>
        <w:kinsoku w:val="0"/>
        <w:autoSpaceDE w:val="0"/>
        <w:autoSpaceDN w:val="0"/>
        <w:adjustRightInd w:val="0"/>
        <w:snapToGrid w:val="0"/>
        <w:spacing w:before="73" w:line="255" w:lineRule="auto"/>
        <w:ind w:left="359"/>
        <w:jc w:val="left"/>
        <w:textAlignment w:val="baseline"/>
        <w:rPr>
          <w:rFonts w:ascii="宋体" w:hAnsi="宋体" w:eastAsia="宋体" w:cs="宋体"/>
          <w:snapToGrid w:val="0"/>
          <w:color w:val="000000"/>
          <w:kern w:val="0"/>
          <w:sz w:val="22"/>
          <w:szCs w:val="22"/>
          <w:lang w:eastAsia="en-US"/>
        </w:rPr>
      </w:pPr>
      <w:r>
        <w:rPr>
          <w:rFonts w:ascii="宋体" w:hAnsi="宋体" w:eastAsia="宋体" w:cs="宋体"/>
          <w:snapToGrid w:val="0"/>
          <w:color w:val="000000"/>
          <w:kern w:val="0"/>
          <w:sz w:val="25"/>
          <w:szCs w:val="25"/>
          <w:lang w:eastAsia="en-US"/>
        </w:rPr>
        <w:t>注：采购标的为2025年长粒型中晚籼稻，必须符合国家相关卫</w:t>
      </w:r>
      <w:r>
        <w:rPr>
          <w:rFonts w:ascii="宋体" w:hAnsi="宋体" w:eastAsia="宋体" w:cs="宋体"/>
          <w:snapToGrid w:val="0"/>
          <w:color w:val="000000"/>
          <w:spacing w:val="-1"/>
          <w:kern w:val="0"/>
          <w:sz w:val="25"/>
          <w:szCs w:val="25"/>
          <w:lang w:eastAsia="en-US"/>
        </w:rPr>
        <w:t>生指标等要求，</w:t>
      </w:r>
      <w:r>
        <w:rPr>
          <w:rFonts w:ascii="宋体" w:hAnsi="宋体" w:eastAsia="宋体" w:cs="宋体"/>
          <w:snapToGrid w:val="0"/>
          <w:color w:val="000000"/>
          <w:kern w:val="0"/>
          <w:sz w:val="25"/>
          <w:szCs w:val="25"/>
          <w:lang w:eastAsia="en-US"/>
        </w:rPr>
        <w:t xml:space="preserve"> </w:t>
      </w:r>
      <w:r>
        <w:rPr>
          <w:rFonts w:ascii="宋体" w:hAnsi="宋体" w:eastAsia="宋体" w:cs="宋体"/>
          <w:snapToGrid w:val="0"/>
          <w:color w:val="000000"/>
          <w:spacing w:val="15"/>
          <w:kern w:val="0"/>
          <w:sz w:val="22"/>
          <w:szCs w:val="22"/>
          <w:lang w:eastAsia="en-US"/>
        </w:rPr>
        <w:t>超等级无价差。</w:t>
      </w:r>
    </w:p>
    <w:p w14:paraId="31D50DC4"/>
    <w:sectPr>
      <w:pgSz w:w="11900" w:h="16820"/>
      <w:pgMar w:top="400" w:right="1695" w:bottom="400" w:left="1350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52A5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2025-11-28T09:04:54Z</dcterms:created>
  <dc:creator>29415</dc:creator>
  <cp:lastModifiedBy>许我一时花开</cp:lastModifiedBy>
  <dcterms:modified xsi:type="dcterms:W3CDTF">2025-11-28T09:05:19Z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eyJoZGlkIjoiODczNmRlODE3NDUyMmFlN2Q3MWUzOTY2MDRiNDE4NTYiLCJ1c2VySWQiOiIxMzU3NjAxNTEyIn0=</vt:lpwstr>
  </property>
  <property fmtid="{D5CDD505-2E9C-101B-9397-08002B2CF9AE}" pid="4" name="ICV">
    <vt:lpwstr>2605CB4CF65E458FA37E0E8102D430D3_12</vt:lpwstr>
  </property>
</Properties>
</file>