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EB7C5">
      <w:pPr>
        <w:spacing w:line="800" w:lineRule="exact"/>
        <w:jc w:val="center"/>
        <w:rPr>
          <w:rStyle w:val="13"/>
          <w:rFonts w:ascii="方正小标宋简体" w:eastAsia="方正小标宋简体" w:cs="Times New Roman"/>
          <w:bCs/>
          <w:sz w:val="52"/>
        </w:rPr>
      </w:pPr>
      <w:r>
        <w:rPr>
          <w:rStyle w:val="13"/>
          <w:rFonts w:hint="eastAsia" w:ascii="方正小标宋简体" w:eastAsia="方正小标宋简体" w:cs="Times New Roman"/>
          <w:bCs/>
          <w:sz w:val="52"/>
          <w:lang w:val="en-US" w:eastAsia="zh-CN"/>
        </w:rPr>
        <w:t>2025年11</w:t>
      </w:r>
      <w:r>
        <w:rPr>
          <w:rStyle w:val="13"/>
          <w:rFonts w:ascii="方正小标宋简体" w:eastAsia="方正小标宋简体" w:cs="Times New Roman"/>
          <w:bCs/>
          <w:sz w:val="52"/>
        </w:rPr>
        <w:t>月</w:t>
      </w:r>
      <w:r>
        <w:rPr>
          <w:rStyle w:val="13"/>
          <w:rFonts w:hint="eastAsia" w:ascii="方正小标宋简体" w:eastAsia="方正小标宋简体" w:cs="Times New Roman"/>
          <w:bCs/>
          <w:sz w:val="52"/>
          <w:lang w:val="en-US" w:eastAsia="zh-CN"/>
        </w:rPr>
        <w:t>19</w:t>
      </w:r>
      <w:r>
        <w:rPr>
          <w:rStyle w:val="13"/>
          <w:rFonts w:ascii="方正小标宋简体" w:eastAsia="方正小标宋简体" w:cs="Times New Roman"/>
          <w:bCs/>
          <w:sz w:val="52"/>
        </w:rPr>
        <w:t>日</w:t>
      </w:r>
      <w:r>
        <w:rPr>
          <w:rStyle w:val="13"/>
          <w:rFonts w:hint="eastAsia" w:ascii="方正小标宋简体" w:eastAsia="方正小标宋简体" w:cs="Times New Roman"/>
          <w:bCs/>
          <w:sz w:val="52"/>
          <w:lang w:val="en-US" w:eastAsia="zh-CN"/>
        </w:rPr>
        <w:t>灵璧县</w:t>
      </w:r>
      <w:r>
        <w:rPr>
          <w:rStyle w:val="13"/>
          <w:rFonts w:ascii="方正小标宋简体" w:eastAsia="方正小标宋简体" w:cs="Times New Roman"/>
          <w:bCs/>
          <w:sz w:val="52"/>
        </w:rPr>
        <w:t>县级储备</w:t>
      </w:r>
      <w:r>
        <w:rPr>
          <w:rStyle w:val="13"/>
          <w:rFonts w:hint="eastAsia" w:ascii="方正小标宋简体" w:eastAsia="方正小标宋简体" w:cs="Times New Roman"/>
          <w:bCs/>
          <w:sz w:val="52"/>
          <w:lang w:val="en-US" w:eastAsia="zh-CN"/>
        </w:rPr>
        <w:t>大豆</w:t>
      </w:r>
      <w:r>
        <w:rPr>
          <w:rStyle w:val="13"/>
          <w:rFonts w:ascii="方正小标宋简体" w:eastAsia="方正小标宋简体" w:cs="Times New Roman"/>
          <w:bCs/>
          <w:sz w:val="52"/>
        </w:rPr>
        <w:t>油竞价采购交易</w:t>
      </w:r>
      <w:r>
        <w:rPr>
          <w:rStyle w:val="13"/>
          <w:rFonts w:hint="eastAsia" w:ascii="方正小标宋简体" w:eastAsia="方正小标宋简体" w:cs="Times New Roman"/>
          <w:bCs/>
          <w:sz w:val="52"/>
        </w:rPr>
        <w:t>细则</w:t>
      </w:r>
    </w:p>
    <w:p w14:paraId="3ED2673D">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4427040F">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灵璧县省级粮食储备库</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县级储备</w:t>
      </w:r>
      <w:r>
        <w:rPr>
          <w:rStyle w:val="13"/>
          <w:rFonts w:hint="eastAsia" w:ascii="仿宋_GB2312" w:eastAsia="仿宋_GB2312"/>
          <w:sz w:val="30"/>
          <w:lang w:val="en-US" w:eastAsia="zh-CN"/>
        </w:rPr>
        <w:t>油</w:t>
      </w:r>
      <w:r>
        <w:rPr>
          <w:rStyle w:val="13"/>
          <w:rFonts w:hint="eastAsia" w:ascii="仿宋_GB2312" w:eastAsia="仿宋_GB2312"/>
          <w:sz w:val="30"/>
        </w:rPr>
        <w:t>竞价</w:t>
      </w:r>
      <w:r>
        <w:rPr>
          <w:rStyle w:val="13"/>
          <w:rFonts w:ascii="仿宋_GB2312" w:eastAsia="仿宋_GB2312"/>
          <w:sz w:val="30"/>
        </w:rPr>
        <w:t>采购的组织工作。</w:t>
      </w:r>
      <w:r>
        <w:rPr>
          <w:rStyle w:val="13"/>
          <w:rFonts w:ascii="仿宋_GB2312" w:hAnsi="宋体" w:eastAsia="仿宋_GB2312"/>
          <w:spacing w:val="6"/>
          <w:sz w:val="30"/>
          <w:szCs w:val="30"/>
          <w:lang w:val="zh-CN"/>
        </w:rPr>
        <w:t>为保证交易活动顺利进行，特制定本交易细则。</w:t>
      </w:r>
    </w:p>
    <w:p w14:paraId="445781B8">
      <w:pPr>
        <w:spacing w:line="560" w:lineRule="exact"/>
        <w:ind w:firstLine="600" w:firstLineChars="200"/>
        <w:rPr>
          <w:rStyle w:val="13"/>
          <w:rFonts w:ascii="仿宋_GB2312" w:eastAsia="仿宋_GB2312"/>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w:t>
      </w:r>
      <w:r>
        <w:rPr>
          <w:rStyle w:val="13"/>
          <w:rFonts w:hint="eastAsia" w:ascii="仿宋_GB2312" w:eastAsia="仿宋_GB2312"/>
          <w:sz w:val="30"/>
        </w:rPr>
        <w:t>参加交易的供油方（以下简称“交易客户”）必须是具有国家油脂生产许可证。</w:t>
      </w:r>
    </w:p>
    <w:p w14:paraId="1D2E9C97">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10030E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186E3082">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30F2052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47760230">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金550元/吨（含交易保证金50元/吨和履约保证金500元/吨）</w:t>
      </w:r>
      <w:r>
        <w:rPr>
          <w:rStyle w:val="13"/>
          <w:rFonts w:ascii="仿宋_GB2312" w:eastAsia="仿宋_GB2312"/>
          <w:sz w:val="30"/>
        </w:rPr>
        <w:t>，交易前必须到帐，付款时应注明交易会名称并向安徽省粮食和物资储备保障中心（国家粮食安徽交易中心）进行确认。保证金不足者不能继续交易。</w:t>
      </w:r>
    </w:p>
    <w:p w14:paraId="1C4E68FA">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203BF955">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B94BB23">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659C4814">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01B2C93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D2E9659">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1301AF84">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7AF65A51">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210DED5E">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7F3E51D8">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3CB6C735">
      <w:pPr>
        <w:pStyle w:val="5"/>
        <w:widowControl/>
        <w:shd w:val="clear" w:color="auto" w:fill="FFFFFF"/>
        <w:spacing w:before="0" w:beforeAutospacing="0" w:after="0" w:afterAutospacing="0"/>
        <w:ind w:left="420" w:left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r>
        <w:rPr>
          <w:rStyle w:val="13"/>
          <w:rFonts w:ascii="仿宋_GB2312" w:eastAsia="仿宋_GB2312"/>
          <w:color w:val="000000"/>
          <w:sz w:val="30"/>
        </w:rPr>
        <w:br w:type="textWrapping"/>
      </w:r>
      <w:r>
        <w:rPr>
          <w:rStyle w:val="13"/>
          <w:rFonts w:ascii="黑体" w:eastAsia="黑体"/>
          <w:sz w:val="30"/>
        </w:rPr>
        <w:t>第十条</w:t>
      </w:r>
      <w:r>
        <w:rPr>
          <w:rStyle w:val="13"/>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7EE8D628">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3E8188DA">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0BEBA27E">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269E3151">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3CDE1CCB">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F190381">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D233D2D">
      <w:pPr>
        <w:ind w:firstLine="600" w:firstLineChars="200"/>
        <w:jc w:val="left"/>
        <w:rPr>
          <w:rStyle w:val="13"/>
          <w:rFonts w:hint="eastAsia" w:ascii="仿宋_GB2312" w:hAnsi="宋体" w:eastAsia="仿宋_GB2312" w:cs="Times New Roman"/>
          <w:sz w:val="30"/>
          <w:szCs w:val="30"/>
          <w:lang w:eastAsia="zh-CN"/>
        </w:rPr>
      </w:pPr>
      <w:r>
        <w:rPr>
          <w:rStyle w:val="13"/>
          <w:rFonts w:ascii="黑体" w:eastAsia="黑体"/>
          <w:sz w:val="30"/>
        </w:rPr>
        <w:t>第十五条</w:t>
      </w:r>
      <w:r>
        <w:rPr>
          <w:rStyle w:val="13"/>
          <w:rFonts w:hint="eastAsia" w:ascii="黑体" w:eastAsia="黑体"/>
          <w:sz w:val="30"/>
        </w:rPr>
        <w:t xml:space="preserve"> </w:t>
      </w:r>
      <w:r>
        <w:rPr>
          <w:rStyle w:val="13"/>
          <w:rFonts w:ascii="黑体" w:eastAsia="黑体"/>
          <w:sz w:val="30"/>
        </w:rPr>
        <w:t xml:space="preserve"> </w:t>
      </w:r>
      <w:r>
        <w:rPr>
          <w:rStyle w:val="13"/>
          <w:rFonts w:hint="eastAsia" w:ascii="仿宋_GB2312" w:hAnsi="宋体" w:eastAsia="仿宋_GB2312" w:cs="Times New Roman"/>
          <w:sz w:val="30"/>
          <w:szCs w:val="30"/>
        </w:rPr>
        <w:t>本次计划采购202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rPr>
        <w:t>年产</w:t>
      </w:r>
      <w:r>
        <w:rPr>
          <w:rStyle w:val="13"/>
          <w:rFonts w:hint="eastAsia" w:ascii="仿宋_GB2312" w:hAnsi="宋体" w:eastAsia="仿宋_GB2312" w:cs="Times New Roman"/>
          <w:sz w:val="30"/>
          <w:szCs w:val="30"/>
          <w:lang w:val="en-US" w:eastAsia="zh-CN"/>
        </w:rPr>
        <w:t>大豆油100</w:t>
      </w:r>
      <w:r>
        <w:rPr>
          <w:rStyle w:val="13"/>
          <w:rFonts w:hint="eastAsia" w:ascii="仿宋_GB2312" w:hAnsi="宋体" w:eastAsia="仿宋_GB2312" w:cs="Times New Roman"/>
          <w:sz w:val="30"/>
          <w:szCs w:val="30"/>
        </w:rPr>
        <w:t>吨，质量标准为一级大豆油，食品安全指标符合国家相关规定要求(GB/T1535-2017)</w:t>
      </w:r>
      <w:r>
        <w:rPr>
          <w:rStyle w:val="13"/>
          <w:rFonts w:hint="eastAsia" w:ascii="仿宋_GB2312" w:hAnsi="宋体" w:eastAsia="仿宋_GB2312" w:cs="Times New Roman"/>
          <w:sz w:val="30"/>
          <w:szCs w:val="30"/>
          <w:lang w:eastAsia="zh-CN"/>
        </w:rPr>
        <w:t>。</w:t>
      </w:r>
    </w:p>
    <w:p w14:paraId="2641D657">
      <w:pPr>
        <w:ind w:firstLine="600" w:firstLineChars="200"/>
        <w:jc w:val="left"/>
        <w:rPr>
          <w:rFonts w:hint="eastAsia" w:ascii="黑体" w:eastAsia="黑体" w:cstheme="minorBidi"/>
          <w:kern w:val="2"/>
          <w:sz w:val="30"/>
          <w:lang w:val="en-US" w:eastAsia="zh-CN" w:bidi="ar-SA"/>
        </w:rPr>
      </w:pPr>
      <w:r>
        <w:rPr>
          <w:rStyle w:val="13"/>
          <w:rFonts w:hint="eastAsia" w:ascii="仿宋_GB2312" w:hAnsi="宋体" w:eastAsia="仿宋_GB2312" w:cs="Times New Roman"/>
          <w:sz w:val="30"/>
          <w:szCs w:val="30"/>
          <w:lang w:val="en-US" w:eastAsia="zh-CN"/>
        </w:rPr>
        <w:t>成交价为罐口价，罐口汽车板交货。</w:t>
      </w:r>
    </w:p>
    <w:p w14:paraId="3C1590B6">
      <w:pPr>
        <w:ind w:firstLine="600" w:firstLineChars="200"/>
        <w:rPr>
          <w:rStyle w:val="13"/>
          <w:rFonts w:ascii="仿宋_GB2312" w:eastAsia="仿宋_GB2312"/>
          <w:sz w:val="30"/>
        </w:rPr>
      </w:pP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p>
    <w:p w14:paraId="2B62132C">
      <w:pPr>
        <w:spacing w:line="560" w:lineRule="exact"/>
        <w:ind w:firstLine="600" w:firstLineChars="200"/>
        <w:rPr>
          <w:rStyle w:val="13"/>
          <w:rFonts w:ascii="仿宋_GB2312" w:hAnsi="宋体" w:eastAsia="仿宋_GB2312"/>
          <w:kern w:val="0"/>
          <w:sz w:val="30"/>
          <w:szCs w:val="30"/>
        </w:rPr>
      </w:pPr>
      <w:r>
        <w:rPr>
          <w:rStyle w:val="13"/>
          <w:rFonts w:ascii="黑体" w:eastAsia="黑体"/>
          <w:sz w:val="30"/>
        </w:rPr>
        <w:t xml:space="preserve">第十七条  </w:t>
      </w:r>
      <w:r>
        <w:rPr>
          <w:rStyle w:val="13"/>
          <w:rFonts w:ascii="仿宋_GB2312" w:hAnsi="宋体" w:eastAsia="仿宋_GB2312"/>
          <w:kern w:val="0"/>
          <w:sz w:val="30"/>
          <w:szCs w:val="30"/>
        </w:rPr>
        <w:t>开市后，投标</w:t>
      </w:r>
      <w:r>
        <w:rPr>
          <w:rStyle w:val="13"/>
          <w:rFonts w:ascii="仿宋_GB2312" w:hAnsi="宋体" w:eastAsia="仿宋_GB2312"/>
          <w:color w:val="000000"/>
          <w:kern w:val="0"/>
          <w:sz w:val="30"/>
          <w:szCs w:val="30"/>
        </w:rPr>
        <w:t>人利</w:t>
      </w:r>
      <w:r>
        <w:rPr>
          <w:rStyle w:val="13"/>
          <w:rFonts w:ascii="仿宋_GB2312" w:hAnsi="宋体" w:eastAsia="仿宋_GB2312"/>
          <w:kern w:val="0"/>
          <w:sz w:val="30"/>
          <w:szCs w:val="30"/>
        </w:rPr>
        <w:t>用计算机按交易节逐节进行交易。每笔交易从起价开始报价，并按每吨10元的价位递减报价。</w:t>
      </w:r>
    </w:p>
    <w:p w14:paraId="60E11415">
      <w:pPr>
        <w:spacing w:line="560" w:lineRule="exact"/>
        <w:ind w:firstLine="600" w:firstLineChars="200"/>
        <w:rPr>
          <w:rStyle w:val="13"/>
          <w:rFonts w:ascii="仿宋_GB2312" w:eastAsia="仿宋_GB2312"/>
          <w:sz w:val="30"/>
        </w:rPr>
      </w:pPr>
      <w:r>
        <w:rPr>
          <w:rStyle w:val="13"/>
          <w:rFonts w:ascii="黑体" w:eastAsia="黑体"/>
          <w:sz w:val="30"/>
        </w:rPr>
        <w:t xml:space="preserve">第十八条  </w:t>
      </w:r>
      <w:r>
        <w:rPr>
          <w:rStyle w:val="13"/>
          <w:rFonts w:ascii="仿宋_GB2312" w:eastAsia="仿宋_GB2312"/>
          <w:sz w:val="30"/>
        </w:rPr>
        <w:t>在起价上无人应价时，即撤销该笔交易。</w:t>
      </w:r>
    </w:p>
    <w:p w14:paraId="7F323658">
      <w:pPr>
        <w:spacing w:line="560" w:lineRule="exact"/>
        <w:ind w:firstLine="600" w:firstLineChars="200"/>
        <w:rPr>
          <w:rStyle w:val="13"/>
          <w:rFonts w:ascii="仿宋_GB2312" w:eastAsia="仿宋_GB2312"/>
          <w:sz w:val="30"/>
        </w:rPr>
      </w:pP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p>
    <w:p w14:paraId="68859652">
      <w:pPr>
        <w:spacing w:line="560" w:lineRule="exact"/>
        <w:ind w:firstLine="600" w:firstLineChars="200"/>
        <w:rPr>
          <w:rStyle w:val="13"/>
          <w:rFonts w:ascii="仿宋_GB2312" w:eastAsia="仿宋_GB2312"/>
          <w:sz w:val="30"/>
        </w:rPr>
      </w:pPr>
      <w:r>
        <w:rPr>
          <w:rStyle w:val="13"/>
          <w:rFonts w:ascii="黑体" w:eastAsia="黑体"/>
          <w:sz w:val="30"/>
        </w:rPr>
        <w:t xml:space="preserve">第二十条  </w:t>
      </w:r>
      <w:r>
        <w:rPr>
          <w:rStyle w:val="13"/>
          <w:rFonts w:ascii="仿宋_GB2312" w:eastAsia="仿宋_GB2312"/>
          <w:sz w:val="30"/>
        </w:rPr>
        <w:t>投标人一经应价，不得撤回。</w:t>
      </w:r>
    </w:p>
    <w:p w14:paraId="0E0B3BA0">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p>
    <w:p w14:paraId="4070D891">
      <w:pPr>
        <w:spacing w:line="560" w:lineRule="exact"/>
        <w:ind w:firstLine="600" w:firstLineChars="200"/>
        <w:rPr>
          <w:rStyle w:val="13"/>
          <w:rFonts w:ascii="仿宋_GB2312" w:eastAsia="仿宋_GB2312"/>
          <w:sz w:val="30"/>
        </w:rPr>
      </w:pP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p>
    <w:p w14:paraId="5E03EBAE">
      <w:pPr>
        <w:spacing w:line="560" w:lineRule="exact"/>
        <w:ind w:firstLine="624" w:firstLineChars="200"/>
        <w:rPr>
          <w:rStyle w:val="13"/>
          <w:rFonts w:ascii="仿宋_GB2312" w:eastAsia="仿宋_GB2312"/>
          <w:color w:val="FF0000"/>
          <w:sz w:val="30"/>
        </w:rPr>
      </w:pP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B520A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3D033BC2">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082BF565">
      <w:pPr>
        <w:pStyle w:val="5"/>
        <w:shd w:val="clear" w:color="auto" w:fill="FFFFFF"/>
        <w:ind w:firstLine="480"/>
        <w:rPr>
          <w:rFonts w:ascii="仿宋_GB2312" w:eastAsia="仿宋_GB2312"/>
          <w:sz w:val="30"/>
          <w:szCs w:val="20"/>
        </w:rPr>
      </w:pPr>
      <w:r>
        <w:rPr>
          <w:rStyle w:val="13"/>
          <w:rFonts w:ascii="黑体" w:eastAsia="黑体"/>
          <w:sz w:val="30"/>
          <w:szCs w:val="30"/>
        </w:rPr>
        <w:t>第二十四条</w:t>
      </w:r>
      <w:r>
        <w:rPr>
          <w:rStyle w:val="13"/>
          <w:rFonts w:ascii="仿宋_GB2312" w:eastAsia="仿宋_GB2312"/>
          <w:sz w:val="30"/>
          <w:szCs w:val="30"/>
        </w:rPr>
        <w:t xml:space="preserve">  </w:t>
      </w:r>
      <w:r>
        <w:rPr>
          <w:rFonts w:hint="eastAsia" w:ascii="仿宋_GB2312" w:hAnsi="宋体" w:eastAsia="仿宋_GB2312"/>
          <w:sz w:val="30"/>
          <w:szCs w:val="30"/>
          <w:lang w:val="zh-CN"/>
        </w:rPr>
        <w:t>本次交易，合同履约时间为自交易合同生效之日起</w:t>
      </w:r>
      <w:r>
        <w:rPr>
          <w:rFonts w:hint="eastAsia" w:ascii="仿宋_GB2312" w:hAnsi="宋体" w:eastAsia="仿宋_GB2312"/>
          <w:sz w:val="30"/>
          <w:szCs w:val="30"/>
          <w:lang w:val="zh-CN" w:eastAsia="zh-CN"/>
        </w:rPr>
        <w:t>至2025年12月</w:t>
      </w:r>
      <w:r>
        <w:rPr>
          <w:rFonts w:hint="eastAsia" w:ascii="仿宋_GB2312" w:hAnsi="宋体" w:eastAsia="仿宋_GB2312"/>
          <w:sz w:val="30"/>
          <w:szCs w:val="30"/>
          <w:lang w:val="en-US" w:eastAsia="zh-CN"/>
        </w:rPr>
        <w:t>18</w:t>
      </w:r>
      <w:bookmarkStart w:id="0" w:name="_GoBack"/>
      <w:bookmarkEnd w:id="0"/>
      <w:r>
        <w:rPr>
          <w:rFonts w:hint="eastAsia" w:ascii="仿宋_GB2312" w:hAnsi="宋体" w:eastAsia="仿宋_GB2312"/>
          <w:sz w:val="30"/>
          <w:szCs w:val="30"/>
          <w:lang w:val="zh-CN" w:eastAsia="zh-CN"/>
        </w:rPr>
        <w:t>日。</w:t>
      </w:r>
    </w:p>
    <w:p w14:paraId="3BD09B82">
      <w:pPr>
        <w:pStyle w:val="5"/>
        <w:shd w:val="clear" w:color="auto" w:fill="FFFFFF"/>
        <w:ind w:firstLine="480"/>
        <w:rPr>
          <w:rStyle w:val="13"/>
          <w:rFonts w:ascii="仿宋_GB2312" w:eastAsia="仿宋_GB2312"/>
          <w:sz w:val="30"/>
          <w:szCs w:val="20"/>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3FA4F53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hint="eastAsia" w:ascii="仿宋_GB2312" w:eastAsia="仿宋_GB2312"/>
          <w:sz w:val="30"/>
          <w:szCs w:val="30"/>
        </w:rPr>
        <w:t>油脂出入库时交易双方共同进行检斤验质。质量依据第十五条规定执行；数量以承储库点计量衡器为准，承储库计量衡器必须是经具有国家认可资质的技术监督部门鉴定合格的，且在鉴定的有效期内。</w:t>
      </w:r>
    </w:p>
    <w:p w14:paraId="3592927E">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油脂验收合格，根据国家有关政策规定开具正式等额的销售发票交给对方后，双方签署统一格式的《</w:t>
      </w:r>
      <w:r>
        <w:rPr>
          <w:rFonts w:hint="eastAsia" w:ascii="仿宋_GB2312" w:eastAsia="仿宋_GB2312"/>
          <w:sz w:val="30"/>
        </w:rPr>
        <w:t>验收确认单</w:t>
      </w:r>
      <w:r>
        <w:rPr>
          <w:rStyle w:val="13"/>
          <w:rFonts w:hint="eastAsia" w:ascii="仿宋_GB2312" w:eastAsia="仿宋_GB2312"/>
          <w:sz w:val="30"/>
          <w:szCs w:val="30"/>
        </w:rPr>
        <w:t>》一式三份，双方各持一份，另一份交安徽省粮食和物资储备保障中心（国家粮食安徽交易中心）作为结算依据，该批货物交割完毕。</w:t>
      </w:r>
    </w:p>
    <w:p w14:paraId="633B919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7C64E94B">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bCs/>
          <w:sz w:val="30"/>
          <w:szCs w:val="30"/>
          <w:lang w:val="zh-CN"/>
        </w:rPr>
        <w:t>此次</w:t>
      </w:r>
      <w:r>
        <w:rPr>
          <w:rFonts w:hint="eastAsia" w:ascii="仿宋_GB2312" w:hAnsi="宋体" w:eastAsia="仿宋_GB2312"/>
          <w:b/>
          <w:bCs/>
          <w:sz w:val="30"/>
          <w:szCs w:val="30"/>
          <w:lang w:val="en-US" w:eastAsia="zh-CN"/>
        </w:rPr>
        <w:t>交易双方自行结算</w:t>
      </w:r>
      <w:r>
        <w:rPr>
          <w:rFonts w:hint="eastAsia" w:ascii="仿宋_GB2312" w:hAnsi="宋体" w:eastAsia="仿宋_GB2312"/>
          <w:b/>
          <w:bCs/>
          <w:sz w:val="30"/>
          <w:szCs w:val="30"/>
        </w:rPr>
        <w:t>。</w:t>
      </w:r>
    </w:p>
    <w:p w14:paraId="03330870">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所有货交付完成，并验收合格后，双方签署《</w:t>
      </w:r>
      <w:r>
        <w:rPr>
          <w:rFonts w:hint="eastAsia" w:ascii="仿宋_GB2312" w:eastAsia="仿宋_GB2312"/>
          <w:sz w:val="30"/>
        </w:rPr>
        <w:t>验收确认单</w:t>
      </w:r>
      <w:r>
        <w:rPr>
          <w:rFonts w:hint="eastAsia" w:ascii="仿宋_GB2312" w:hAnsi="宋体" w:eastAsia="仿宋_GB2312"/>
          <w:sz w:val="30"/>
          <w:szCs w:val="30"/>
          <w:lang w:val="zh-CN"/>
        </w:rPr>
        <w:t>》，卖方根据第二十七条，报送一份至</w:t>
      </w:r>
      <w:r>
        <w:rPr>
          <w:rFonts w:ascii="仿宋_GB2312" w:hAnsi="宋体" w:eastAsia="仿宋_GB2312"/>
          <w:sz w:val="30"/>
          <w:szCs w:val="30"/>
          <w:lang w:val="zh-CN"/>
        </w:rPr>
        <w:t>安徽省粮食和物资储备保障中心（国家粮食安徽交易中心）</w:t>
      </w:r>
      <w:r>
        <w:rPr>
          <w:rFonts w:hint="eastAsia" w:ascii="仿宋_GB2312" w:hAnsi="宋体" w:eastAsia="仿宋_GB2312"/>
          <w:sz w:val="30"/>
          <w:szCs w:val="30"/>
          <w:lang w:val="zh-CN"/>
        </w:rPr>
        <w:t>。</w:t>
      </w:r>
    </w:p>
    <w:p w14:paraId="546AF9F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405A95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8AF21A">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Fonts w:hint="eastAsia" w:ascii="仿宋_GB2312" w:eastAsia="仿宋_GB2312"/>
          <w:sz w:val="30"/>
        </w:rPr>
        <w:t>验收确认单</w:t>
      </w:r>
      <w:r>
        <w:rPr>
          <w:rStyle w:val="13"/>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1539B601">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417A305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5191A184">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w:t>
      </w:r>
      <w:r>
        <w:rPr>
          <w:rFonts w:hint="eastAsia" w:ascii="仿宋_GB2312" w:hAnsi="宋体" w:eastAsia="仿宋_GB2312"/>
          <w:spacing w:val="6"/>
          <w:sz w:val="30"/>
          <w:szCs w:val="30"/>
          <w:lang w:val="en-US" w:eastAsia="zh-CN"/>
        </w:rPr>
        <w:t>油</w:t>
      </w:r>
      <w:r>
        <w:rPr>
          <w:rFonts w:hint="eastAsia" w:ascii="仿宋_GB2312" w:hAnsi="宋体" w:eastAsia="仿宋_GB2312"/>
          <w:spacing w:val="6"/>
          <w:sz w:val="30"/>
          <w:szCs w:val="30"/>
          <w:lang w:val="zh-CN"/>
        </w:rPr>
        <w:t>退还卖方，一切费用由卖方承担</w:t>
      </w:r>
      <w:r>
        <w:rPr>
          <w:rStyle w:val="13"/>
          <w:rFonts w:ascii="仿宋_GB2312" w:hAnsi="宋体" w:eastAsia="仿宋_GB2312"/>
          <w:spacing w:val="6"/>
          <w:sz w:val="30"/>
          <w:szCs w:val="30"/>
          <w:lang w:val="zh-CN"/>
        </w:rPr>
        <w:t>。</w:t>
      </w:r>
    </w:p>
    <w:p w14:paraId="0992D4EE">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5DAB4FFA">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735E45DC">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122053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9F724AB">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07D4424C">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BD45726">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A5723">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5AED97">
                          <w:pPr>
                            <w:pStyle w:val="3"/>
                            <w:rPr>
                              <w:rStyle w:val="13"/>
                            </w:rPr>
                          </w:pPr>
                        </w:p>
                        <w:p w14:paraId="2D549685">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3D5AED97">
                    <w:pPr>
                      <w:pStyle w:val="3"/>
                      <w:rPr>
                        <w:rStyle w:val="13"/>
                      </w:rPr>
                    </w:pPr>
                  </w:p>
                  <w:p w14:paraId="2D549685">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hZTNhY2VhZTcyNmQzYTljYzFhYTdkZjVlN2IxMDgifQ=="/>
  </w:docVars>
  <w:rsids>
    <w:rsidRoot w:val="00A542AE"/>
    <w:rsid w:val="0003322B"/>
    <w:rsid w:val="00076A34"/>
    <w:rsid w:val="00087C9F"/>
    <w:rsid w:val="000A0A14"/>
    <w:rsid w:val="000B5B02"/>
    <w:rsid w:val="000C6DCB"/>
    <w:rsid w:val="000E0AA5"/>
    <w:rsid w:val="000E3E3B"/>
    <w:rsid w:val="000F1785"/>
    <w:rsid w:val="000F732E"/>
    <w:rsid w:val="001169A0"/>
    <w:rsid w:val="00125115"/>
    <w:rsid w:val="00142F48"/>
    <w:rsid w:val="00171B30"/>
    <w:rsid w:val="00183DE7"/>
    <w:rsid w:val="001A4ED4"/>
    <w:rsid w:val="001C638A"/>
    <w:rsid w:val="001D5FC2"/>
    <w:rsid w:val="001E6E7F"/>
    <w:rsid w:val="00212495"/>
    <w:rsid w:val="00216E34"/>
    <w:rsid w:val="002249AD"/>
    <w:rsid w:val="002473E8"/>
    <w:rsid w:val="00272695"/>
    <w:rsid w:val="002753F8"/>
    <w:rsid w:val="00290EA5"/>
    <w:rsid w:val="002B4D51"/>
    <w:rsid w:val="002C0AAD"/>
    <w:rsid w:val="002E5278"/>
    <w:rsid w:val="002F09CA"/>
    <w:rsid w:val="00306372"/>
    <w:rsid w:val="003070B1"/>
    <w:rsid w:val="00310B35"/>
    <w:rsid w:val="00321BC7"/>
    <w:rsid w:val="00323E35"/>
    <w:rsid w:val="003510A4"/>
    <w:rsid w:val="00352000"/>
    <w:rsid w:val="00382C88"/>
    <w:rsid w:val="003C425E"/>
    <w:rsid w:val="003E0FF8"/>
    <w:rsid w:val="003E14E9"/>
    <w:rsid w:val="003E73CF"/>
    <w:rsid w:val="003F1A27"/>
    <w:rsid w:val="00414B7A"/>
    <w:rsid w:val="00421D2D"/>
    <w:rsid w:val="00430C9A"/>
    <w:rsid w:val="00431A84"/>
    <w:rsid w:val="00441A85"/>
    <w:rsid w:val="00496C39"/>
    <w:rsid w:val="004E7EA4"/>
    <w:rsid w:val="004F4F5F"/>
    <w:rsid w:val="00502D9B"/>
    <w:rsid w:val="00515861"/>
    <w:rsid w:val="00536AEA"/>
    <w:rsid w:val="0054357D"/>
    <w:rsid w:val="0056325E"/>
    <w:rsid w:val="005746BA"/>
    <w:rsid w:val="005A0DCB"/>
    <w:rsid w:val="005A11C2"/>
    <w:rsid w:val="005B0440"/>
    <w:rsid w:val="005B3488"/>
    <w:rsid w:val="005B474E"/>
    <w:rsid w:val="006011A7"/>
    <w:rsid w:val="00622F42"/>
    <w:rsid w:val="006A5048"/>
    <w:rsid w:val="006B6897"/>
    <w:rsid w:val="006C2017"/>
    <w:rsid w:val="006E1061"/>
    <w:rsid w:val="00715940"/>
    <w:rsid w:val="00730EE6"/>
    <w:rsid w:val="0074158B"/>
    <w:rsid w:val="007625BB"/>
    <w:rsid w:val="0078527A"/>
    <w:rsid w:val="007D4089"/>
    <w:rsid w:val="007D6235"/>
    <w:rsid w:val="00844522"/>
    <w:rsid w:val="00854715"/>
    <w:rsid w:val="00866F79"/>
    <w:rsid w:val="008844A7"/>
    <w:rsid w:val="008B288F"/>
    <w:rsid w:val="008C5202"/>
    <w:rsid w:val="00947390"/>
    <w:rsid w:val="00971F07"/>
    <w:rsid w:val="009C1A05"/>
    <w:rsid w:val="009C1DD5"/>
    <w:rsid w:val="009D1F43"/>
    <w:rsid w:val="00A066D1"/>
    <w:rsid w:val="00A15723"/>
    <w:rsid w:val="00A22539"/>
    <w:rsid w:val="00A5115B"/>
    <w:rsid w:val="00A542AE"/>
    <w:rsid w:val="00A77FFA"/>
    <w:rsid w:val="00A82BF5"/>
    <w:rsid w:val="00A91365"/>
    <w:rsid w:val="00AA1579"/>
    <w:rsid w:val="00AE645A"/>
    <w:rsid w:val="00B00BEC"/>
    <w:rsid w:val="00B244AD"/>
    <w:rsid w:val="00B71BE3"/>
    <w:rsid w:val="00B826F0"/>
    <w:rsid w:val="00B86640"/>
    <w:rsid w:val="00B95F16"/>
    <w:rsid w:val="00BA439F"/>
    <w:rsid w:val="00BA52B7"/>
    <w:rsid w:val="00BB056F"/>
    <w:rsid w:val="00BB25A1"/>
    <w:rsid w:val="00BC3B59"/>
    <w:rsid w:val="00BD4699"/>
    <w:rsid w:val="00BF57B6"/>
    <w:rsid w:val="00C220DC"/>
    <w:rsid w:val="00C22BD6"/>
    <w:rsid w:val="00C318B1"/>
    <w:rsid w:val="00C5255F"/>
    <w:rsid w:val="00C55073"/>
    <w:rsid w:val="00C555DA"/>
    <w:rsid w:val="00C853AF"/>
    <w:rsid w:val="00CA3F05"/>
    <w:rsid w:val="00CF6A81"/>
    <w:rsid w:val="00D02047"/>
    <w:rsid w:val="00D1153E"/>
    <w:rsid w:val="00D32FA5"/>
    <w:rsid w:val="00DB008D"/>
    <w:rsid w:val="00DB54F0"/>
    <w:rsid w:val="00DD79D2"/>
    <w:rsid w:val="00E128E4"/>
    <w:rsid w:val="00E12A3A"/>
    <w:rsid w:val="00E12AEE"/>
    <w:rsid w:val="00E14120"/>
    <w:rsid w:val="00E84A6D"/>
    <w:rsid w:val="00E92593"/>
    <w:rsid w:val="00EB16FD"/>
    <w:rsid w:val="00EF6280"/>
    <w:rsid w:val="00F03B92"/>
    <w:rsid w:val="00F53565"/>
    <w:rsid w:val="00F70A14"/>
    <w:rsid w:val="00F7398A"/>
    <w:rsid w:val="00F852CD"/>
    <w:rsid w:val="00F925F7"/>
    <w:rsid w:val="00F94402"/>
    <w:rsid w:val="00FB5023"/>
    <w:rsid w:val="00FE487B"/>
    <w:rsid w:val="00FF3E43"/>
    <w:rsid w:val="0184458D"/>
    <w:rsid w:val="05486CD8"/>
    <w:rsid w:val="083B70AA"/>
    <w:rsid w:val="0EE31559"/>
    <w:rsid w:val="222054EA"/>
    <w:rsid w:val="222F1E4B"/>
    <w:rsid w:val="299A7794"/>
    <w:rsid w:val="2DA9069F"/>
    <w:rsid w:val="3A4D68B5"/>
    <w:rsid w:val="3DCE7351"/>
    <w:rsid w:val="3E3343A8"/>
    <w:rsid w:val="43402834"/>
    <w:rsid w:val="479C4115"/>
    <w:rsid w:val="4AA17722"/>
    <w:rsid w:val="4B084100"/>
    <w:rsid w:val="4B2075A7"/>
    <w:rsid w:val="4E001625"/>
    <w:rsid w:val="598304A3"/>
    <w:rsid w:val="5BF12AC8"/>
    <w:rsid w:val="5CEC6DE7"/>
    <w:rsid w:val="5DE146F6"/>
    <w:rsid w:val="5ED2035F"/>
    <w:rsid w:val="64066E18"/>
    <w:rsid w:val="64316853"/>
    <w:rsid w:val="65524212"/>
    <w:rsid w:val="67241AE9"/>
    <w:rsid w:val="6AF051AD"/>
    <w:rsid w:val="6B9E34A2"/>
    <w:rsid w:val="6F727DFB"/>
    <w:rsid w:val="79A476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3290</Words>
  <Characters>3394</Characters>
  <Lines>29</Lines>
  <Paragraphs>8</Paragraphs>
  <TotalTime>9</TotalTime>
  <ScaleCrop>false</ScaleCrop>
  <LinksUpToDate>false</LinksUpToDate>
  <CharactersWithSpaces>3497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2025-11-17T06:43:08Z</dcterms:modified>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