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8FFA5">
      <w:pPr>
        <w:adjustRightInd w:val="0"/>
        <w:snapToGrid w:val="0"/>
        <w:spacing w:line="560" w:lineRule="exact"/>
        <w:jc w:val="center"/>
        <w:rPr>
          <w:rFonts w:ascii="黑体" w:hAnsi="黑体" w:eastAsia="黑体"/>
          <w:b/>
          <w:sz w:val="30"/>
          <w:szCs w:val="30"/>
        </w:rPr>
      </w:pPr>
      <w:r>
        <w:rPr>
          <w:rFonts w:hint="eastAsia" w:ascii="宋体" w:hAnsi="宋体" w:cs="宋体"/>
          <w:b/>
          <w:sz w:val="44"/>
          <w:szCs w:val="44"/>
          <w:lang w:val="en-US" w:eastAsia="zh-CN"/>
        </w:rPr>
        <w:t>安庆</w:t>
      </w:r>
      <w:r>
        <w:rPr>
          <w:rFonts w:hint="eastAsia" w:ascii="宋体" w:hAnsi="宋体" w:cs="宋体"/>
          <w:b/>
          <w:sz w:val="44"/>
          <w:szCs w:val="44"/>
        </w:rPr>
        <w:t>市市级储备菜籽油购销双向竞价交易细则</w:t>
      </w:r>
    </w:p>
    <w:p w14:paraId="48F49F6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15EC1C6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受</w:t>
      </w:r>
      <w:r>
        <w:rPr>
          <w:rFonts w:hint="eastAsia" w:ascii="仿宋_GB2312" w:hAnsi="Times New Roman" w:eastAsia="仿宋_GB2312" w:cs="Times New Roman"/>
          <w:kern w:val="2"/>
          <w:sz w:val="30"/>
          <w:szCs w:val="30"/>
          <w:lang w:val="en-US" w:eastAsia="zh-CN" w:bidi="ar-SA"/>
        </w:rPr>
        <w:t>安庆市粮食和物资储备局</w:t>
      </w:r>
      <w:r>
        <w:rPr>
          <w:rFonts w:hint="eastAsia" w:ascii="仿宋_GB2312" w:eastAsia="仿宋_GB2312"/>
          <w:sz w:val="30"/>
          <w:szCs w:val="30"/>
        </w:rPr>
        <w:t>的委托，安徽省粮食和物资储备保障中心（国家粮食安徽交易中心）承担市级储备菜籽油竞价交易会的具体工作，现制定本交易细则。</w:t>
      </w:r>
    </w:p>
    <w:p w14:paraId="4C66FBAB">
      <w:pPr>
        <w:adjustRightInd w:val="0"/>
        <w:snapToGrid w:val="0"/>
        <w:spacing w:line="560" w:lineRule="exact"/>
        <w:ind w:firstLine="602" w:firstLineChars="200"/>
        <w:jc w:val="left"/>
        <w:rPr>
          <w:rFonts w:ascii="仿宋_GB2312" w:eastAsia="仿宋_GB231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承储库点（以下简称“库方”）作为交易活动的代表，具体负责出入库、商务处理等工作，并承担相应的责任。参加交易的购油、供油方（以下简称“交易客户”）必须是具有国家油脂生产或经营许可证，且在以前安徽省政策性食用植物油脂购销和交割过程中没有发生质量、计量等违规行为。</w:t>
      </w:r>
    </w:p>
    <w:p w14:paraId="7011E10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45393E77">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16F71A7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第四条</w:t>
      </w:r>
      <w:r>
        <w:rPr>
          <w:rFonts w:hint="eastAsia" w:ascii="仿宋_GB2312" w:eastAsia="仿宋_GB2312"/>
          <w:sz w:val="30"/>
          <w:szCs w:val="30"/>
        </w:rPr>
        <w:t xml:space="preserve"> 委托方须向安徽省粮食和物资储备保障中心（国家粮食安徽交易中心）提供《委托书》、交易清单等相关文件。</w:t>
      </w:r>
    </w:p>
    <w:p w14:paraId="37B67938">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14C524A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交易客户交易前须向安徽省粮食和物资储备保障中心（国家粮食安徽交易中心）交纳保证金1100元/吨（含销售、采购标的交易保证金各50元/吨和履约保证金各500元/吨），付款时应注明交易会名称并向安徽省粮食和物资储备保障中心（国家粮食安徽交易中心）进行确认。</w:t>
      </w:r>
    </w:p>
    <w:p w14:paraId="79AF38D1">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45F33AB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62E8DD3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开户银行：中国农业发展银行</w:t>
      </w:r>
      <w:r>
        <w:rPr>
          <w:rFonts w:hint="eastAsia" w:ascii="仿宋_GB2312" w:eastAsia="仿宋_GB2312"/>
          <w:sz w:val="30"/>
          <w:szCs w:val="30"/>
          <w:lang w:val="en-US" w:eastAsia="zh-CN"/>
        </w:rPr>
        <w:t>合肥</w:t>
      </w:r>
      <w:r>
        <w:rPr>
          <w:rFonts w:hint="eastAsia" w:ascii="仿宋_GB2312" w:eastAsia="仿宋_GB2312"/>
          <w:sz w:val="30"/>
          <w:szCs w:val="30"/>
        </w:rPr>
        <w:t xml:space="preserve">市金寨路支行  </w:t>
      </w:r>
    </w:p>
    <w:p w14:paraId="33E80A4D">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1604395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w:t>
      </w:r>
      <w:r>
        <w:rPr>
          <w:rFonts w:hint="eastAsia" w:ascii="仿宋_GB2312" w:eastAsia="仿宋_GB2312"/>
          <w:sz w:val="30"/>
          <w:szCs w:val="30"/>
          <w:lang w:val="en-US" w:eastAsia="zh-CN"/>
        </w:rPr>
        <w:t>合肥</w:t>
      </w:r>
      <w:r>
        <w:rPr>
          <w:rFonts w:hint="eastAsia" w:ascii="仿宋_GB2312" w:eastAsia="仿宋_GB2312"/>
          <w:sz w:val="30"/>
          <w:szCs w:val="30"/>
        </w:rPr>
        <w:t>新华支行</w:t>
      </w:r>
    </w:p>
    <w:p w14:paraId="4EE47C4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705110F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25240C23">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8"/>
          <w:rFonts w:hint="eastAsia" w:ascii="仿宋_GB2312" w:eastAsia="仿宋_GB2312"/>
          <w:color w:val="auto"/>
          <w:sz w:val="30"/>
          <w:szCs w:val="30"/>
        </w:rPr>
        <w:t>www.cereal.com.cn</w:t>
      </w:r>
      <w:r>
        <w:rPr>
          <w:rStyle w:val="8"/>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70DBA6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5890F8CC">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w:t>
      </w:r>
      <w:r>
        <w:rPr>
          <w:rFonts w:hint="eastAsia" w:ascii="仿宋_GB2312" w:eastAsia="仿宋_GB2312"/>
          <w:sz w:val="30"/>
          <w:szCs w:val="30"/>
          <w:lang w:val="en-US" w:eastAsia="zh-CN"/>
        </w:rPr>
        <w:t>合肥</w:t>
      </w:r>
      <w:bookmarkStart w:id="0" w:name="_GoBack"/>
      <w:bookmarkEnd w:id="0"/>
      <w:r>
        <w:rPr>
          <w:rFonts w:hint="eastAsia" w:ascii="仿宋_GB2312" w:eastAsia="仿宋_GB2312"/>
          <w:sz w:val="30"/>
          <w:szCs w:val="30"/>
        </w:rPr>
        <w:t>市芜湖路319号良苑大厦三楼交易大厅，参加交易的会员企业也可以通过网上直接参加交易。</w:t>
      </w:r>
    </w:p>
    <w:p w14:paraId="4D78CF3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55BB9FB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6EB946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0CEFA4C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2EC1C21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D9FECD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AC84CC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1F0012C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17E6AE86">
      <w:pPr>
        <w:pStyle w:val="4"/>
        <w:wordWrap w:val="0"/>
        <w:spacing w:line="480" w:lineRule="auto"/>
        <w:ind w:firstLine="602" w:firstLineChars="200"/>
        <w:rPr>
          <w:rFonts w:ascii="仿宋_GB2312" w:eastAsia="仿宋_GB2312"/>
          <w:sz w:val="30"/>
          <w:szCs w:val="30"/>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eastAsia="仿宋_GB2312"/>
          <w:sz w:val="30"/>
          <w:szCs w:val="30"/>
        </w:rPr>
        <w:t>本次计划销售202</w:t>
      </w:r>
      <w:r>
        <w:rPr>
          <w:rFonts w:hint="eastAsia" w:ascii="仿宋_GB2312" w:eastAsia="仿宋_GB2312"/>
          <w:sz w:val="30"/>
          <w:szCs w:val="30"/>
          <w:lang w:val="en-US" w:eastAsia="zh-CN"/>
        </w:rPr>
        <w:t>3</w:t>
      </w:r>
      <w:r>
        <w:rPr>
          <w:rFonts w:hint="eastAsia" w:ascii="仿宋_GB2312" w:eastAsia="仿宋_GB2312"/>
          <w:sz w:val="30"/>
          <w:szCs w:val="30"/>
        </w:rPr>
        <w:t>年产菜籽油</w:t>
      </w:r>
      <w:r>
        <w:rPr>
          <w:rFonts w:hint="eastAsia" w:ascii="仿宋_GB2312" w:eastAsia="仿宋_GB2312"/>
          <w:sz w:val="30"/>
          <w:szCs w:val="30"/>
          <w:lang w:val="en-US" w:eastAsia="zh-CN"/>
        </w:rPr>
        <w:t>1120</w:t>
      </w:r>
      <w:r>
        <w:rPr>
          <w:rFonts w:hint="eastAsia" w:ascii="仿宋_GB2312" w:eastAsia="仿宋_GB2312"/>
          <w:sz w:val="30"/>
          <w:szCs w:val="30"/>
        </w:rPr>
        <w:t>吨，质量标准以现存为准。有意向参与的会员须提前赴实际存储库点查看菜籽油实物质量和路况、出库条件等，自主确定是否购买，并承担竞买后相应的责任和市场风险。未赴现场看样的，视同认可菜籽油质量。</w:t>
      </w:r>
    </w:p>
    <w:p w14:paraId="58661AEE">
      <w:pPr>
        <w:pStyle w:val="4"/>
        <w:wordWrap w:val="0"/>
        <w:spacing w:line="480" w:lineRule="auto"/>
        <w:ind w:firstLine="600" w:firstLineChars="200"/>
        <w:rPr>
          <w:rFonts w:hint="eastAsia" w:ascii="仿宋_GB2312" w:eastAsia="仿宋_GB2312"/>
          <w:sz w:val="30"/>
          <w:szCs w:val="30"/>
          <w:lang w:eastAsia="zh-CN"/>
        </w:rPr>
      </w:pPr>
      <w:r>
        <w:rPr>
          <w:rFonts w:hint="eastAsia" w:ascii="仿宋_GB2312" w:eastAsia="仿宋_GB2312"/>
          <w:sz w:val="30"/>
          <w:szCs w:val="30"/>
        </w:rPr>
        <w:t>本次计划采购2</w:t>
      </w:r>
      <w:r>
        <w:rPr>
          <w:rFonts w:ascii="仿宋_GB2312" w:eastAsia="仿宋_GB2312"/>
          <w:sz w:val="30"/>
          <w:szCs w:val="30"/>
        </w:rPr>
        <w:t>0</w:t>
      </w:r>
      <w:r>
        <w:rPr>
          <w:rFonts w:hint="eastAsia" w:ascii="仿宋_GB2312" w:eastAsia="仿宋_GB2312"/>
          <w:sz w:val="30"/>
          <w:szCs w:val="30"/>
          <w:lang w:val="en-US" w:eastAsia="zh-CN"/>
        </w:rPr>
        <w:t>25</w:t>
      </w:r>
      <w:r>
        <w:rPr>
          <w:rFonts w:hint="eastAsia" w:ascii="仿宋_GB2312" w:eastAsia="仿宋_GB2312"/>
          <w:sz w:val="30"/>
          <w:szCs w:val="30"/>
        </w:rPr>
        <w:t>年产</w:t>
      </w:r>
      <w:r>
        <w:rPr>
          <w:rFonts w:hint="eastAsia" w:ascii="仿宋_GB2312" w:eastAsia="仿宋_GB2312"/>
          <w:sz w:val="30"/>
          <w:szCs w:val="30"/>
          <w:lang w:val="en-US" w:eastAsia="zh-CN"/>
        </w:rPr>
        <w:t>的</w:t>
      </w:r>
      <w:r>
        <w:rPr>
          <w:rFonts w:hint="eastAsia" w:ascii="仿宋_GB2312" w:eastAsia="仿宋_GB2312"/>
          <w:sz w:val="30"/>
          <w:szCs w:val="30"/>
        </w:rPr>
        <w:t>菜籽加工的菜籽油</w:t>
      </w:r>
      <w:r>
        <w:rPr>
          <w:rFonts w:hint="eastAsia" w:ascii="仿宋_GB2312" w:eastAsia="仿宋_GB2312"/>
          <w:sz w:val="30"/>
          <w:szCs w:val="30"/>
          <w:lang w:val="en-US" w:eastAsia="zh-CN"/>
        </w:rPr>
        <w:t>1120</w:t>
      </w:r>
      <w:r>
        <w:rPr>
          <w:rFonts w:hint="eastAsia" w:ascii="仿宋_GB2312" w:eastAsia="仿宋_GB2312"/>
          <w:sz w:val="30"/>
          <w:szCs w:val="30"/>
        </w:rPr>
        <w:t>吨，质量标准符合</w:t>
      </w:r>
      <w:r>
        <w:rPr>
          <w:rFonts w:hint="eastAsia" w:ascii="仿宋_GB2312" w:eastAsia="仿宋_GB2312"/>
          <w:sz w:val="30"/>
          <w:szCs w:val="30"/>
          <w:lang w:val="en-US" w:eastAsia="zh-CN"/>
        </w:rPr>
        <w:t>国标</w:t>
      </w:r>
      <w:r>
        <w:rPr>
          <w:rFonts w:hint="eastAsia" w:ascii="仿宋_GB2312" w:eastAsia="仿宋_GB2312"/>
          <w:sz w:val="30"/>
          <w:szCs w:val="30"/>
        </w:rPr>
        <w:t>三级及以上</w:t>
      </w:r>
      <w:r>
        <w:rPr>
          <w:rFonts w:hint="eastAsia" w:ascii="仿宋_GB2312" w:eastAsia="仿宋_GB2312"/>
          <w:sz w:val="30"/>
          <w:szCs w:val="30"/>
          <w:lang w:eastAsia="zh-CN"/>
        </w:rPr>
        <w:t>，</w:t>
      </w:r>
      <w:r>
        <w:rPr>
          <w:rFonts w:hint="eastAsia" w:ascii="仿宋_GB2312" w:eastAsia="仿宋_GB2312"/>
          <w:sz w:val="30"/>
          <w:szCs w:val="30"/>
        </w:rPr>
        <w:t>酸价(KOH)≤2.0mg/g，过氧化值≤0.125g/100g，质量指标、储存品质指标须符合相关食品安全指标要求</w:t>
      </w:r>
      <w:r>
        <w:rPr>
          <w:rFonts w:hint="eastAsia" w:ascii="仿宋_GB2312" w:eastAsia="仿宋_GB2312"/>
          <w:sz w:val="30"/>
          <w:szCs w:val="30"/>
          <w:lang w:eastAsia="zh-CN"/>
        </w:rPr>
        <w:t>。卖方要严格遵守国家《食用植物油散装运输规范》(GB/T30354)规定，运输食用植物油应使用专用容器，不得使用非食用植物油罐车或容器运输。</w:t>
      </w:r>
    </w:p>
    <w:p w14:paraId="27E18D42">
      <w:pPr>
        <w:widowControl w:val="0"/>
        <w:wordWrap w:val="0"/>
        <w:spacing w:line="480" w:lineRule="auto"/>
        <w:ind w:firstLine="600" w:firstLineChars="200"/>
        <w:jc w:val="left"/>
        <w:rPr>
          <w:rFonts w:hint="eastAsia" w:ascii="仿宋_GB2312" w:eastAsia="仿宋_GB2312"/>
          <w:kern w:val="2"/>
          <w:sz w:val="30"/>
          <w:szCs w:val="30"/>
        </w:rPr>
      </w:pPr>
      <w:r>
        <w:rPr>
          <w:rFonts w:hint="eastAsia" w:ascii="仿宋_GB2312" w:hAnsi="Times New Roman" w:eastAsia="仿宋_GB2312" w:cs="Times New Roman"/>
          <w:kern w:val="0"/>
          <w:sz w:val="30"/>
          <w:szCs w:val="30"/>
          <w:lang w:val="en-US" w:eastAsia="zh-CN" w:bidi="ar-SA"/>
        </w:rPr>
        <w:t>本次市储油按照“先入后出、购销统一”的方式进行，通过一次交易实现同等数量菜籽油采购和销售同步完成的交易模式，竞价参与方只对销售标的的底价进行竞价，</w:t>
      </w:r>
      <w:r>
        <w:rPr>
          <w:rFonts w:hint="eastAsia" w:ascii="仿宋_GB2312" w:hAnsi="Times New Roman" w:eastAsia="仿宋_GB2312" w:cs="Times New Roman"/>
          <w:b/>
          <w:bCs/>
          <w:kern w:val="0"/>
          <w:sz w:val="30"/>
          <w:szCs w:val="30"/>
          <w:lang w:val="en-US" w:eastAsia="zh-CN" w:bidi="ar-SA"/>
        </w:rPr>
        <w:t>锁定新油采购价为</w:t>
      </w:r>
      <w:r>
        <w:rPr>
          <w:rFonts w:hint="eastAsia" w:ascii="仿宋_GB2312" w:eastAsia="仿宋_GB2312" w:cs="Times New Roman"/>
          <w:b/>
          <w:bCs/>
          <w:kern w:val="0"/>
          <w:sz w:val="30"/>
          <w:szCs w:val="30"/>
          <w:lang w:val="en-US" w:eastAsia="zh-CN" w:bidi="ar-SA"/>
        </w:rPr>
        <w:t>10110</w:t>
      </w:r>
      <w:r>
        <w:rPr>
          <w:rFonts w:hint="eastAsia" w:ascii="仿宋_GB2312" w:hAnsi="Times New Roman" w:eastAsia="仿宋_GB2312" w:cs="Times New Roman"/>
          <w:b/>
          <w:bCs/>
          <w:kern w:val="0"/>
          <w:sz w:val="30"/>
          <w:szCs w:val="30"/>
          <w:lang w:val="en-US" w:eastAsia="zh-CN" w:bidi="ar-SA"/>
        </w:rPr>
        <w:t>元/吨</w:t>
      </w:r>
      <w:r>
        <w:rPr>
          <w:rFonts w:hint="eastAsia" w:ascii="仿宋_GB2312" w:hAnsi="Times New Roman" w:eastAsia="仿宋_GB2312" w:cs="Times New Roman"/>
          <w:kern w:val="0"/>
          <w:sz w:val="30"/>
          <w:szCs w:val="30"/>
          <w:lang w:val="en-US" w:eastAsia="zh-CN" w:bidi="ar-SA"/>
        </w:rPr>
        <w:t>，销售价格以竞价结果为准。</w:t>
      </w:r>
    </w:p>
    <w:p w14:paraId="384ED418">
      <w:pPr>
        <w:pStyle w:val="4"/>
        <w:shd w:val="clear" w:color="auto" w:fill="FFFFFF"/>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384D84FE">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w:t>
      </w:r>
      <w:r>
        <w:rPr>
          <w:rFonts w:ascii="仿宋_GB2312" w:hAnsi="宋体" w:eastAsia="仿宋_GB2312"/>
          <w:b/>
          <w:sz w:val="30"/>
          <w:szCs w:val="30"/>
        </w:rPr>
        <w:t>10</w:t>
      </w:r>
      <w:r>
        <w:rPr>
          <w:rFonts w:hint="eastAsia" w:ascii="仿宋_GB2312" w:hAnsi="宋体" w:eastAsia="仿宋_GB2312"/>
          <w:b/>
          <w:sz w:val="30"/>
          <w:szCs w:val="30"/>
        </w:rPr>
        <w:t>元的价位递增报价。</w:t>
      </w:r>
    </w:p>
    <w:p w14:paraId="7FB8478C">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80C99E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1EFD87A">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0FFAEDC">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DE07441">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1A5E0D1A">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14E2C1B">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 </w:t>
      </w:r>
    </w:p>
    <w:p w14:paraId="599F700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3B9576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2D244339">
      <w:pPr>
        <w:spacing w:line="560" w:lineRule="exact"/>
        <w:ind w:firstLine="632" w:firstLineChars="210"/>
        <w:rPr>
          <w:rFonts w:ascii="仿宋_GB2312" w:hAnsi="宋体" w:eastAsia="仿宋_GB2312"/>
          <w:sz w:val="30"/>
          <w:szCs w:val="30"/>
          <w:lang w:val="zh-CN"/>
        </w:rPr>
      </w:pPr>
      <w:r>
        <w:rPr>
          <w:rFonts w:hint="eastAsia" w:ascii="仿宋_GB2312" w:eastAsia="仿宋_GB2312"/>
          <w:b/>
          <w:sz w:val="30"/>
          <w:szCs w:val="30"/>
        </w:rPr>
        <w:t xml:space="preserve">第二十四条 </w:t>
      </w:r>
      <w:r>
        <w:rPr>
          <w:rFonts w:hint="eastAsia" w:ascii="仿宋_GB2312" w:hAnsi="宋体" w:eastAsia="仿宋_GB2312"/>
          <w:sz w:val="30"/>
          <w:szCs w:val="30"/>
          <w:lang w:val="zh-CN"/>
        </w:rPr>
        <w:t>本次交易，合同履约时间为</w:t>
      </w:r>
      <w:r>
        <w:rPr>
          <w:rFonts w:hint="eastAsia" w:ascii="仿宋_GB2312" w:hAnsi="宋体" w:eastAsia="仿宋_GB2312" w:cs="Times New Roman"/>
          <w:kern w:val="2"/>
          <w:sz w:val="30"/>
          <w:szCs w:val="30"/>
          <w:lang w:val="en-US" w:eastAsia="zh-CN" w:bidi="ar-SA"/>
        </w:rPr>
        <w:t>2025年11月15日至2025年12月30日</w:t>
      </w:r>
      <w:r>
        <w:rPr>
          <w:rFonts w:hint="eastAsia" w:ascii="仿宋_GB2312" w:hAnsi="宋体" w:eastAsia="仿宋_GB2312"/>
          <w:sz w:val="30"/>
          <w:szCs w:val="30"/>
          <w:lang w:val="zh-CN"/>
        </w:rPr>
        <w:t>。</w:t>
      </w:r>
    </w:p>
    <w:p w14:paraId="4E2C325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368C1DE1">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油脂出入库时交易双方共同进行检斤验质。销售标的质量以清单公示为准；数量以承储库点计量衡器为准，承储库计量衡器必须是经具有国家认可资质的技术监督部门鉴定合格的，且在鉴定的有效期内。</w:t>
      </w:r>
    </w:p>
    <w:p w14:paraId="390A7E0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第二十七条 </w:t>
      </w:r>
      <w:r>
        <w:rPr>
          <w:rFonts w:hint="eastAsia" w:ascii="仿宋_GB2312" w:hAnsi="Times New Roman" w:eastAsia="仿宋_GB2312" w:cs="Times New Roman"/>
          <w:b/>
          <w:kern w:val="2"/>
          <w:sz w:val="30"/>
          <w:szCs w:val="30"/>
          <w:lang w:val="en-US" w:eastAsia="zh-CN" w:bidi="ar-SA"/>
        </w:rPr>
        <w:t>本次交易由双方自行结算差价款。</w:t>
      </w:r>
    </w:p>
    <w:p w14:paraId="59F76A6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bCs/>
          <w:sz w:val="30"/>
          <w:szCs w:val="30"/>
        </w:rPr>
        <w:t>第二十八条</w:t>
      </w:r>
      <w:r>
        <w:rPr>
          <w:rFonts w:hint="eastAsia" w:ascii="仿宋_GB2312" w:eastAsia="仿宋_GB2312"/>
          <w:sz w:val="30"/>
          <w:szCs w:val="30"/>
        </w:rPr>
        <w:t xml:space="preserve"> 油脂验收合格，根据国家有关政策规定开具正式发票交给对方后，双方签署统一格式的《验收确认单》一式三份，双方各持一份，另一份交安徽省粮食和物资储备保障中心（国家粮食安徽交易中心）作为结算依据，该批货物交割完毕。</w:t>
      </w:r>
    </w:p>
    <w:p w14:paraId="599E3A0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第二十九条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265AE0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按销售标的成交金额的2‰</w:t>
      </w:r>
      <w:r>
        <w:rPr>
          <w:rFonts w:hint="eastAsia" w:ascii="仿宋_GB2312" w:eastAsia="仿宋_GB2312"/>
          <w:sz w:val="30"/>
          <w:szCs w:val="30"/>
        </w:rPr>
        <w:t>收取手续费，交易手续费从客户保证金中扣除。</w:t>
      </w:r>
    </w:p>
    <w:p w14:paraId="249B22EE">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 xml:space="preserve">第三十一条 </w:t>
      </w:r>
      <w:r>
        <w:rPr>
          <w:rFonts w:hint="eastAsia" w:ascii="仿宋_GB2312" w:hAnsi="宋体" w:eastAsia="仿宋_GB2312"/>
          <w:sz w:val="30"/>
          <w:szCs w:val="30"/>
          <w:lang w:val="zh-CN"/>
        </w:rPr>
        <w:t>中标方预交的履约保证金，在成交后可转作货款，</w:t>
      </w:r>
      <w:r>
        <w:rPr>
          <w:rFonts w:hint="eastAsia" w:ascii="仿宋_GB2312" w:eastAsia="仿宋_GB2312"/>
          <w:sz w:val="30"/>
        </w:rPr>
        <w:t>合同执行完毕后退回。</w:t>
      </w:r>
      <w:r>
        <w:rPr>
          <w:rFonts w:hint="eastAsia" w:ascii="仿宋_GB2312" w:eastAsia="仿宋_GB2312"/>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6201D4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48D4684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第三十二条 </w:t>
      </w:r>
      <w:r>
        <w:rPr>
          <w:rFonts w:hint="eastAsia" w:ascii="仿宋_GB2312" w:eastAsia="仿宋_GB2312"/>
          <w:sz w:val="30"/>
          <w:szCs w:val="30"/>
        </w:rPr>
        <w:t>中标客户没有在合同规定的时间内完成新油入库，视为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35AA739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第三十三条 </w:t>
      </w:r>
      <w:r>
        <w:rPr>
          <w:rFonts w:hint="eastAsia" w:ascii="仿宋_GB2312" w:eastAsia="仿宋_GB2312"/>
          <w:sz w:val="30"/>
          <w:szCs w:val="30"/>
        </w:rPr>
        <w:t>库方未能在规定的时间积极配合，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54891F64">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3BD30E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6CF2E610">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6B2DD3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第三十六条 </w:t>
      </w:r>
      <w:r>
        <w:rPr>
          <w:rFonts w:hint="eastAsia" w:ascii="仿宋_GB2312" w:eastAsia="仿宋_GB231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p>
    <w:p w14:paraId="308F373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本交易细则由安徽省粮食和物资储备保障中心（国家粮食安徽交易中心）负责解释。</w:t>
      </w:r>
    </w:p>
    <w:p w14:paraId="7740EDC7">
      <w:pPr>
        <w:widowControl/>
        <w:adjustRightInd w:val="0"/>
        <w:snapToGrid w:val="0"/>
        <w:spacing w:line="560" w:lineRule="exact"/>
        <w:jc w:val="left"/>
        <w:rPr>
          <w:rFonts w:ascii="仿宋_GB2312" w:hAnsi="仿宋_GB2312" w:eastAsia="仿宋_GB2312" w:cs="仿宋_GB2312"/>
          <w:kern w:val="0"/>
          <w:sz w:val="32"/>
          <w:szCs w:val="32"/>
          <w:u w:val="single"/>
        </w:rPr>
      </w:pPr>
    </w:p>
    <w:p w14:paraId="25CFAF2D">
      <w:pPr>
        <w:spacing w:line="600" w:lineRule="exact"/>
        <w:rPr>
          <w:rFonts w:ascii="黑体" w:hAnsi="黑体" w:eastAsia="黑体" w:cs="黑体"/>
          <w:b/>
          <w:bCs/>
          <w:sz w:val="32"/>
          <w:szCs w:val="32"/>
        </w:rPr>
      </w:pPr>
    </w:p>
    <w:p w14:paraId="5BD7AF1B">
      <w:pPr>
        <w:spacing w:line="600" w:lineRule="exact"/>
        <w:rPr>
          <w:rFonts w:ascii="黑体" w:hAnsi="黑体" w:eastAsia="黑体" w:cs="黑体"/>
          <w:b/>
          <w:bCs/>
          <w:sz w:val="32"/>
          <w:szCs w:val="32"/>
        </w:rPr>
      </w:pPr>
    </w:p>
    <w:p w14:paraId="13CE728D">
      <w:pPr>
        <w:spacing w:line="600" w:lineRule="exact"/>
        <w:rPr>
          <w:rFonts w:ascii="黑体" w:hAnsi="黑体" w:eastAsia="黑体" w:cs="黑体"/>
          <w:b/>
          <w:bCs/>
          <w:sz w:val="32"/>
          <w:szCs w:val="32"/>
        </w:rPr>
      </w:pPr>
    </w:p>
    <w:p w14:paraId="0DB71EB5">
      <w:pPr>
        <w:spacing w:line="600" w:lineRule="exact"/>
        <w:rPr>
          <w:rFonts w:ascii="黑体" w:hAnsi="黑体" w:eastAsia="黑体" w:cs="黑体"/>
          <w:b/>
          <w:bCs/>
          <w:sz w:val="32"/>
          <w:szCs w:val="32"/>
        </w:rPr>
      </w:pPr>
    </w:p>
    <w:p w14:paraId="25664A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1CD92825"/>
    <w:rsid w:val="000266DE"/>
    <w:rsid w:val="00027CA0"/>
    <w:rsid w:val="00027D4B"/>
    <w:rsid w:val="000A17D2"/>
    <w:rsid w:val="000C08F0"/>
    <w:rsid w:val="000F1817"/>
    <w:rsid w:val="001217CA"/>
    <w:rsid w:val="00142247"/>
    <w:rsid w:val="00144B86"/>
    <w:rsid w:val="001C17F2"/>
    <w:rsid w:val="002376EB"/>
    <w:rsid w:val="002C4E8A"/>
    <w:rsid w:val="002C7840"/>
    <w:rsid w:val="00354332"/>
    <w:rsid w:val="003A2AB0"/>
    <w:rsid w:val="003B1428"/>
    <w:rsid w:val="003B4BD8"/>
    <w:rsid w:val="0040281D"/>
    <w:rsid w:val="00425CF6"/>
    <w:rsid w:val="00496377"/>
    <w:rsid w:val="00501987"/>
    <w:rsid w:val="00504F40"/>
    <w:rsid w:val="00646685"/>
    <w:rsid w:val="006D3516"/>
    <w:rsid w:val="00750CCC"/>
    <w:rsid w:val="00787663"/>
    <w:rsid w:val="007C396A"/>
    <w:rsid w:val="007D1210"/>
    <w:rsid w:val="00847D43"/>
    <w:rsid w:val="008A7B89"/>
    <w:rsid w:val="008B09EA"/>
    <w:rsid w:val="00945B33"/>
    <w:rsid w:val="00975601"/>
    <w:rsid w:val="009A3CE4"/>
    <w:rsid w:val="009B74CA"/>
    <w:rsid w:val="009D0E8B"/>
    <w:rsid w:val="00A23647"/>
    <w:rsid w:val="00A579D9"/>
    <w:rsid w:val="00A85CDA"/>
    <w:rsid w:val="00AF5FB8"/>
    <w:rsid w:val="00B43672"/>
    <w:rsid w:val="00B87A3F"/>
    <w:rsid w:val="00BC7FE1"/>
    <w:rsid w:val="00BD4CC5"/>
    <w:rsid w:val="00C05B20"/>
    <w:rsid w:val="00C91E02"/>
    <w:rsid w:val="00CD289F"/>
    <w:rsid w:val="00D00FBE"/>
    <w:rsid w:val="00D707E4"/>
    <w:rsid w:val="00DB53B8"/>
    <w:rsid w:val="00E01E00"/>
    <w:rsid w:val="00E465ED"/>
    <w:rsid w:val="00EA1DCB"/>
    <w:rsid w:val="00FE320C"/>
    <w:rsid w:val="16B26FB8"/>
    <w:rsid w:val="1CD92825"/>
    <w:rsid w:val="2FED737D"/>
    <w:rsid w:val="550F579A"/>
    <w:rsid w:val="723C7531"/>
    <w:rsid w:val="78AC20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Hyperlink"/>
    <w:qFormat/>
    <w:uiPriority w:val="0"/>
    <w:rPr>
      <w:color w:val="0000FF"/>
      <w:u w:val="single"/>
    </w:rPr>
  </w:style>
  <w:style w:type="character" w:customStyle="1" w:styleId="9">
    <w:name w:val="页眉 字符"/>
    <w:basedOn w:val="6"/>
    <w:link w:val="3"/>
    <w:qFormat/>
    <w:uiPriority w:val="0"/>
    <w:rPr>
      <w:rFonts w:ascii="Times New Roman" w:hAnsi="Times New Roman" w:eastAsia="宋体" w:cs="Times New Roman"/>
      <w:kern w:val="2"/>
      <w:sz w:val="18"/>
      <w:szCs w:val="18"/>
    </w:rPr>
  </w:style>
  <w:style w:type="character" w:customStyle="1" w:styleId="10">
    <w:name w:val="页脚 字符"/>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3420</Words>
  <Characters>3531</Characters>
  <Lines>27</Lines>
  <Paragraphs>7</Paragraphs>
  <TotalTime>0</TotalTime>
  <ScaleCrop>false</ScaleCrop>
  <LinksUpToDate>false</LinksUpToDate>
  <CharactersWithSpaces>3609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Lk</cp:lastModifiedBy>
  <dcterms:modified xsi:type="dcterms:W3CDTF">2025-11-10T07:50:14Z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47E8177C57BC4F2FBCD5066E4E32F512_11</vt:lpwstr>
  </property>
  <property fmtid="{D5CDD505-2E9C-101B-9397-08002B2CF9AE}" pid="4" name="KSOTemplateDocerSaveRecord">
    <vt:lpwstr>eyJoZGlkIjoiYzgzNjJiYzc5NzRmZmQyYWViZDYwNmNmNTc1MGU1NjMiLCJ1c2VySWQiOiIyNjAzOTAzMDAifQ==</vt:lpwstr>
  </property>
</Properties>
</file>