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8FFA5">
      <w:pPr>
        <w:adjustRightInd w:val="0"/>
        <w:snapToGrid w:val="0"/>
        <w:spacing w:line="560" w:lineRule="exact"/>
        <w:jc w:val="center"/>
        <w:rPr>
          <w:rFonts w:ascii="黑体" w:hAnsi="黑体" w:eastAsia="黑体"/>
          <w:b/>
          <w:sz w:val="30"/>
          <w:szCs w:val="30"/>
        </w:rPr>
      </w:pPr>
      <w:r>
        <w:rPr>
          <w:rFonts w:hint="eastAsia" w:ascii="宋体" w:hAnsi="宋体" w:cs="宋体"/>
          <w:b/>
          <w:sz w:val="44"/>
          <w:szCs w:val="44"/>
          <w:lang w:val="en-US" w:eastAsia="zh-CN"/>
        </w:rPr>
        <w:t>肥西县县级储备菜籽油</w:t>
      </w:r>
      <w:r>
        <w:rPr>
          <w:rFonts w:hint="eastAsia" w:ascii="宋体" w:hAnsi="宋体" w:cs="宋体"/>
          <w:b/>
          <w:sz w:val="44"/>
          <w:szCs w:val="44"/>
        </w:rPr>
        <w:t>购销双向竞价交易细则</w:t>
      </w:r>
    </w:p>
    <w:p w14:paraId="48F49F6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15EC1C6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第一条</w:t>
      </w:r>
      <w:r>
        <w:rPr>
          <w:rFonts w:hint="eastAsia" w:ascii="仿宋_GB2312" w:eastAsia="仿宋_GB2312"/>
          <w:sz w:val="30"/>
          <w:szCs w:val="30"/>
        </w:rPr>
        <w:t xml:space="preserve">  受</w:t>
      </w:r>
      <w:r>
        <w:rPr>
          <w:rFonts w:hint="eastAsia" w:ascii="仿宋_GB2312" w:hAnsi="Times New Roman" w:eastAsia="仿宋_GB2312" w:cs="Times New Roman"/>
          <w:kern w:val="2"/>
          <w:sz w:val="30"/>
          <w:szCs w:val="30"/>
          <w:lang w:val="en-US" w:eastAsia="zh-CN" w:bidi="ar-SA"/>
        </w:rPr>
        <w:t>安徽肥西国家粮食储备有限公司</w:t>
      </w:r>
      <w:r>
        <w:rPr>
          <w:rFonts w:hint="eastAsia" w:ascii="仿宋_GB2312" w:eastAsia="仿宋_GB2312"/>
          <w:sz w:val="30"/>
          <w:szCs w:val="30"/>
        </w:rPr>
        <w:t>的委托，安徽省粮食和物资储备保障中心（国家粮食安徽交易中心）承担</w:t>
      </w:r>
      <w:r>
        <w:rPr>
          <w:rFonts w:hint="eastAsia" w:ascii="仿宋_GB2312" w:eastAsia="仿宋_GB2312"/>
          <w:sz w:val="30"/>
          <w:szCs w:val="30"/>
          <w:lang w:val="en-US" w:eastAsia="zh-CN"/>
        </w:rPr>
        <w:t>县</w:t>
      </w:r>
      <w:r>
        <w:rPr>
          <w:rFonts w:hint="eastAsia" w:ascii="仿宋_GB2312" w:eastAsia="仿宋_GB2312"/>
          <w:sz w:val="30"/>
          <w:szCs w:val="30"/>
        </w:rPr>
        <w:t>级储备菜籽油竞价交易会的具体工作，现制定本交易细则。</w:t>
      </w:r>
    </w:p>
    <w:p w14:paraId="4C66FBAB">
      <w:pPr>
        <w:adjustRightInd w:val="0"/>
        <w:snapToGrid w:val="0"/>
        <w:spacing w:line="560" w:lineRule="exact"/>
        <w:ind w:firstLine="602" w:firstLineChars="200"/>
        <w:jc w:val="left"/>
        <w:rPr>
          <w:rFonts w:ascii="仿宋_GB2312" w:eastAsia="仿宋_GB2312"/>
          <w:sz w:val="30"/>
          <w:szCs w:val="30"/>
        </w:rPr>
      </w:pPr>
      <w:r>
        <w:rPr>
          <w:rFonts w:hint="eastAsia" w:ascii="仿宋_GB2312" w:eastAsia="仿宋_GB2312"/>
          <w:b/>
          <w:sz w:val="30"/>
          <w:szCs w:val="30"/>
        </w:rPr>
        <w:t>第二条</w:t>
      </w:r>
      <w:r>
        <w:rPr>
          <w:rFonts w:hint="eastAsia" w:ascii="仿宋_GB2312" w:eastAsia="仿宋_GB2312"/>
          <w:sz w:val="30"/>
          <w:szCs w:val="30"/>
        </w:rPr>
        <w:t xml:space="preserve"> 承储库点（以下简称“库方”）作为交易活动的代表，具体负责出入库、商务处理等工作，并承担相应的责任。参加交易的购油、供油方（以下简称“交易客户”）必须是具有国家油脂生产或经营许可证，且在以前安徽省政策性食用植物油脂购销和交割过程中没有发生质量、计量等违规行为。</w:t>
      </w:r>
    </w:p>
    <w:p w14:paraId="7011E10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45393E77">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16F71A79">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第四条</w:t>
      </w:r>
      <w:r>
        <w:rPr>
          <w:rFonts w:hint="eastAsia" w:ascii="仿宋_GB2312" w:eastAsia="仿宋_GB2312"/>
          <w:sz w:val="30"/>
          <w:szCs w:val="30"/>
        </w:rPr>
        <w:t xml:space="preserve"> 委托方须向安徽省粮食和物资储备保障中心（国家粮食安徽交易中心）提供《委托书》、交易清单等相关文件。</w:t>
      </w:r>
    </w:p>
    <w:p w14:paraId="37B67938">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14C524A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交易客户交易前须向安徽省粮食和物资储备保障中心（国家粮食安徽交易中心）交纳保证金1100元/吨（含销售、采购标的交易保证金各50元/吨和履约保证金各500元/吨），付款时应注明交易会名称并向安徽省粮食和物资储备保障中心（国家粮食安徽交易中心）进行确认。</w:t>
      </w:r>
    </w:p>
    <w:p w14:paraId="79AF38D1">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45F33AB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62E8DD34">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33E80A4D">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1604395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EE47C4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705110F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25240C23">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8"/>
          <w:rFonts w:hint="eastAsia" w:ascii="仿宋_GB2312" w:eastAsia="仿宋_GB2312"/>
          <w:color w:val="auto"/>
          <w:sz w:val="30"/>
          <w:szCs w:val="30"/>
        </w:rPr>
        <w:t>www.cereal.com.cn</w:t>
      </w:r>
      <w:r>
        <w:rPr>
          <w:rStyle w:val="8"/>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70DBA6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5890F8CC">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4D78CF3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55BB9FB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6EB946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0CEFA4C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2EC1C21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D9FECD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AC84CC2">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1F0012C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4D139687">
      <w:pPr>
        <w:pStyle w:val="4"/>
        <w:wordWrap w:val="0"/>
        <w:spacing w:line="480" w:lineRule="auto"/>
        <w:ind w:firstLine="602" w:firstLineChars="200"/>
        <w:rPr>
          <w:rFonts w:hint="eastAsia" w:ascii="仿宋_GB2312" w:eastAsia="仿宋_GB2312"/>
          <w:sz w:val="30"/>
          <w:szCs w:val="30"/>
          <w:lang w:eastAsia="zh-CN"/>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ascii="仿宋_GB2312" w:eastAsia="仿宋_GB2312"/>
          <w:sz w:val="30"/>
          <w:szCs w:val="30"/>
        </w:rPr>
        <w:t xml:space="preserve"> </w:t>
      </w:r>
      <w:r>
        <w:rPr>
          <w:rFonts w:hint="eastAsia" w:ascii="仿宋_GB2312" w:hAnsi="Times New Roman" w:eastAsia="仿宋_GB2312" w:cs="Times New Roman"/>
          <w:kern w:val="0"/>
          <w:sz w:val="30"/>
          <w:szCs w:val="30"/>
          <w:lang w:val="en-US" w:eastAsia="zh-CN" w:bidi="ar-SA"/>
        </w:rPr>
        <w:t>本次计划销售2023年产菜籽油</w:t>
      </w:r>
      <w:r>
        <w:rPr>
          <w:rFonts w:hint="eastAsia" w:ascii="仿宋_GB2312" w:eastAsia="仿宋_GB2312" w:cs="Times New Roman"/>
          <w:kern w:val="0"/>
          <w:sz w:val="30"/>
          <w:szCs w:val="30"/>
          <w:lang w:val="en-US" w:eastAsia="zh-CN" w:bidi="ar-SA"/>
        </w:rPr>
        <w:t>15</w:t>
      </w:r>
      <w:r>
        <w:rPr>
          <w:rFonts w:hint="eastAsia" w:ascii="仿宋_GB2312" w:hAnsi="Times New Roman" w:eastAsia="仿宋_GB2312" w:cs="Times New Roman"/>
          <w:kern w:val="0"/>
          <w:sz w:val="30"/>
          <w:szCs w:val="30"/>
          <w:lang w:val="en-US" w:eastAsia="zh-CN" w:bidi="ar-SA"/>
        </w:rPr>
        <w:t>00吨</w:t>
      </w:r>
      <w:r>
        <w:rPr>
          <w:rFonts w:hint="eastAsia" w:ascii="仿宋_GB2312" w:eastAsia="仿宋_GB2312"/>
          <w:sz w:val="30"/>
          <w:szCs w:val="30"/>
        </w:rPr>
        <w:t>，质量标准以现存为准。本次计划采购202</w:t>
      </w:r>
      <w:r>
        <w:rPr>
          <w:rFonts w:hint="eastAsia" w:ascii="仿宋_GB2312" w:eastAsia="仿宋_GB2312"/>
          <w:sz w:val="30"/>
          <w:szCs w:val="30"/>
          <w:lang w:val="en-US" w:eastAsia="zh-CN"/>
        </w:rPr>
        <w:t>5</w:t>
      </w:r>
      <w:r>
        <w:rPr>
          <w:rFonts w:hint="eastAsia" w:ascii="仿宋_GB2312" w:eastAsia="仿宋_GB2312"/>
          <w:sz w:val="30"/>
          <w:szCs w:val="30"/>
        </w:rPr>
        <w:t>年产菜籽油</w:t>
      </w:r>
      <w:r>
        <w:rPr>
          <w:rFonts w:hint="eastAsia" w:ascii="仿宋_GB2312" w:eastAsia="仿宋_GB2312"/>
          <w:sz w:val="30"/>
          <w:szCs w:val="30"/>
          <w:lang w:val="en-US" w:eastAsia="zh-CN"/>
        </w:rPr>
        <w:t>1500</w:t>
      </w:r>
      <w:r>
        <w:rPr>
          <w:rFonts w:hint="eastAsia" w:ascii="仿宋_GB2312" w:eastAsia="仿宋_GB2312"/>
          <w:sz w:val="30"/>
          <w:szCs w:val="30"/>
        </w:rPr>
        <w:t>吨，</w:t>
      </w:r>
      <w:r>
        <w:rPr>
          <w:rFonts w:hint="eastAsia" w:ascii="仿宋_GB2312" w:eastAsia="仿宋_GB2312"/>
          <w:sz w:val="30"/>
          <w:szCs w:val="30"/>
          <w:lang w:val="en-US" w:eastAsia="zh-CN"/>
        </w:rPr>
        <w:t>采购新油质量标准为2025年产油菜籽加工的菜籽油，国标三级及其以上，酸价（KOH）≤2.0mg/g，过氧化值≤0.125g/100g，质量指标、储存品质指标须符合相关食品安全指标要求。</w:t>
      </w:r>
    </w:p>
    <w:p w14:paraId="6FCEDBD8">
      <w:pPr>
        <w:pStyle w:val="4"/>
        <w:wordWrap w:val="0"/>
        <w:spacing w:line="480" w:lineRule="auto"/>
        <w:ind w:firstLine="600" w:firstLineChars="200"/>
        <w:rPr>
          <w:rFonts w:ascii="仿宋_GB2312" w:eastAsia="仿宋_GB2312"/>
          <w:kern w:val="2"/>
          <w:sz w:val="30"/>
          <w:szCs w:val="30"/>
        </w:rPr>
      </w:pPr>
      <w:r>
        <w:rPr>
          <w:rFonts w:hint="eastAsia" w:ascii="仿宋_GB2312" w:eastAsia="仿宋_GB2312"/>
          <w:kern w:val="2"/>
          <w:sz w:val="30"/>
          <w:szCs w:val="30"/>
        </w:rPr>
        <w:t>销售标的报价为卖方罐口价，采购标的报价为买方罐口价。</w:t>
      </w:r>
    </w:p>
    <w:p w14:paraId="3377B4DE">
      <w:pPr>
        <w:pStyle w:val="4"/>
        <w:wordWrap w:val="0"/>
        <w:spacing w:line="480" w:lineRule="auto"/>
        <w:ind w:firstLine="600" w:firstLineChars="200"/>
        <w:rPr>
          <w:rFonts w:hint="eastAsia" w:ascii="仿宋_GB2312" w:eastAsia="仿宋_GB2312"/>
          <w:kern w:val="2"/>
          <w:sz w:val="30"/>
          <w:szCs w:val="30"/>
        </w:rPr>
      </w:pPr>
      <w:r>
        <w:rPr>
          <w:rFonts w:hint="eastAsia" w:ascii="仿宋_GB2312" w:eastAsia="仿宋_GB2312"/>
          <w:kern w:val="2"/>
          <w:sz w:val="30"/>
          <w:szCs w:val="30"/>
        </w:rPr>
        <w:t>本次</w:t>
      </w:r>
      <w:r>
        <w:rPr>
          <w:rFonts w:hint="eastAsia" w:ascii="仿宋_GB2312" w:eastAsia="仿宋_GB2312"/>
          <w:kern w:val="2"/>
          <w:sz w:val="30"/>
          <w:szCs w:val="30"/>
          <w:lang w:val="en-US" w:eastAsia="zh-CN"/>
        </w:rPr>
        <w:t>县</w:t>
      </w:r>
      <w:r>
        <w:rPr>
          <w:rFonts w:hint="eastAsia" w:ascii="仿宋_GB2312" w:eastAsia="仿宋_GB2312"/>
          <w:kern w:val="2"/>
          <w:sz w:val="30"/>
          <w:szCs w:val="30"/>
        </w:rPr>
        <w:t>储油销售、采购按照“先出后入，购销统一，购价锁定,售价高者中标”原则进行，每标的包含销售、采购同时进行，且为同一交易单位（自然人）。</w:t>
      </w:r>
    </w:p>
    <w:p w14:paraId="384ED418">
      <w:pPr>
        <w:pStyle w:val="4"/>
        <w:shd w:val="clear" w:color="auto" w:fill="FFFFFF"/>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本次交易活动，采取现场及网上计算机竞价的方式进行。竞价交易按委托标的序号顺序，依次按交易节进行。</w:t>
      </w:r>
    </w:p>
    <w:p w14:paraId="384D84FE">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w:t>
      </w:r>
      <w:r>
        <w:rPr>
          <w:rFonts w:ascii="仿宋_GB2312" w:hAnsi="宋体" w:eastAsia="仿宋_GB2312"/>
          <w:b/>
          <w:sz w:val="30"/>
          <w:szCs w:val="30"/>
        </w:rPr>
        <w:t>10</w:t>
      </w:r>
      <w:r>
        <w:rPr>
          <w:rFonts w:hint="eastAsia" w:ascii="仿宋_GB2312" w:hAnsi="宋体" w:eastAsia="仿宋_GB2312"/>
          <w:b/>
          <w:sz w:val="30"/>
          <w:szCs w:val="30"/>
        </w:rPr>
        <w:t>元的价位递增报价。</w:t>
      </w:r>
    </w:p>
    <w:p w14:paraId="7FB8478C">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680C99EB">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1EFD87A">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0FFAEDC">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DE07441">
      <w:pPr>
        <w:spacing w:line="56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交易成交双方签订安徽省粮食和物资储备保障中心（国家粮食安徽交易中心）制订的买卖合同。</w:t>
      </w:r>
    </w:p>
    <w:p w14:paraId="1A5E0D1A">
      <w:pPr>
        <w:spacing w:line="56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14E2C1B">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 </w:t>
      </w:r>
    </w:p>
    <w:p w14:paraId="599F700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3B9576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2D244339">
      <w:pPr>
        <w:spacing w:line="560" w:lineRule="exact"/>
        <w:ind w:firstLine="632" w:firstLineChars="210"/>
        <w:rPr>
          <w:rFonts w:ascii="仿宋_GB2312" w:hAnsi="宋体" w:eastAsia="仿宋_GB2312"/>
          <w:sz w:val="30"/>
          <w:szCs w:val="30"/>
          <w:lang w:val="zh-CN"/>
        </w:rPr>
      </w:pPr>
      <w:r>
        <w:rPr>
          <w:rFonts w:hint="eastAsia" w:ascii="仿宋_GB2312" w:eastAsia="仿宋_GB2312"/>
          <w:b/>
          <w:sz w:val="30"/>
          <w:szCs w:val="30"/>
        </w:rPr>
        <w:t xml:space="preserve">第二十四条 </w:t>
      </w:r>
      <w:r>
        <w:rPr>
          <w:rFonts w:hint="eastAsia" w:ascii="仿宋_GB2312" w:hAnsi="宋体" w:eastAsia="仿宋_GB2312"/>
          <w:sz w:val="30"/>
          <w:szCs w:val="30"/>
          <w:lang w:val="zh-CN"/>
        </w:rPr>
        <w:t>本次交易，合同履约时间为自交易合同生效之日起至202</w:t>
      </w:r>
      <w:r>
        <w:rPr>
          <w:rFonts w:hint="eastAsia" w:ascii="仿宋_GB2312" w:hAnsi="宋体" w:eastAsia="仿宋_GB2312"/>
          <w:sz w:val="30"/>
          <w:szCs w:val="30"/>
          <w:lang w:val="en-US" w:eastAsia="zh-CN"/>
        </w:rPr>
        <w:t>5</w:t>
      </w:r>
      <w:r>
        <w:rPr>
          <w:rFonts w:hint="eastAsia" w:ascii="仿宋_GB2312" w:hAnsi="宋体" w:eastAsia="仿宋_GB2312"/>
          <w:sz w:val="30"/>
          <w:szCs w:val="30"/>
          <w:lang w:val="zh-CN"/>
        </w:rPr>
        <w:t>年</w:t>
      </w:r>
      <w:r>
        <w:rPr>
          <w:rFonts w:hint="eastAsia" w:ascii="仿宋_GB2312" w:hAnsi="宋体" w:eastAsia="仿宋_GB2312"/>
          <w:sz w:val="30"/>
          <w:szCs w:val="30"/>
          <w:lang w:val="en-US" w:eastAsia="zh-CN"/>
        </w:rPr>
        <w:t>12</w:t>
      </w:r>
      <w:r>
        <w:rPr>
          <w:rFonts w:hint="eastAsia" w:ascii="仿宋_GB2312" w:hAnsi="宋体" w:eastAsia="仿宋_GB2312"/>
          <w:sz w:val="30"/>
          <w:szCs w:val="30"/>
          <w:lang w:val="zh-CN"/>
        </w:rPr>
        <w:t>月</w:t>
      </w:r>
      <w:r>
        <w:rPr>
          <w:rFonts w:hint="eastAsia" w:ascii="仿宋_GB2312" w:hAnsi="宋体" w:eastAsia="仿宋_GB2312"/>
          <w:sz w:val="30"/>
          <w:szCs w:val="30"/>
          <w:lang w:val="en-US" w:eastAsia="zh-CN"/>
        </w:rPr>
        <w:t>4</w:t>
      </w:r>
      <w:r>
        <w:rPr>
          <w:rFonts w:hint="eastAsia" w:ascii="仿宋_GB2312" w:hAnsi="宋体" w:eastAsia="仿宋_GB2312"/>
          <w:sz w:val="30"/>
          <w:szCs w:val="30"/>
          <w:lang w:val="zh-CN"/>
        </w:rPr>
        <w:t>日。中标方必须于交易合同生效之日起</w:t>
      </w:r>
      <w:r>
        <w:rPr>
          <w:rFonts w:hint="eastAsia" w:ascii="仿宋_GB2312" w:hAnsi="宋体" w:eastAsia="仿宋_GB2312"/>
          <w:sz w:val="30"/>
          <w:szCs w:val="30"/>
          <w:lang w:val="en-US" w:eastAsia="zh-CN"/>
        </w:rPr>
        <w:t>16</w:t>
      </w:r>
      <w:r>
        <w:rPr>
          <w:rFonts w:hint="eastAsia" w:ascii="仿宋_GB2312" w:hAnsi="宋体" w:eastAsia="仿宋_GB2312"/>
          <w:sz w:val="30"/>
          <w:szCs w:val="30"/>
          <w:lang w:val="zh-CN"/>
        </w:rPr>
        <w:t>日内按要求将销售合同全额货款一次或分批汇入本细则第五条所列安徽省粮食和物资储备保障中心（国家粮食安徽交易中心）结算账户。</w:t>
      </w:r>
    </w:p>
    <w:p w14:paraId="5CCAC269">
      <w:pPr>
        <w:spacing w:line="560" w:lineRule="exact"/>
        <w:ind w:firstLine="630" w:firstLineChars="210"/>
        <w:rPr>
          <w:rFonts w:ascii="仿宋_GB2312" w:eastAsia="仿宋_GB2312"/>
          <w:sz w:val="30"/>
        </w:rPr>
      </w:pPr>
      <w:r>
        <w:rPr>
          <w:rFonts w:hint="eastAsia" w:ascii="仿宋_GB2312" w:hAnsi="宋体" w:eastAsia="仿宋_GB2312"/>
          <w:sz w:val="30"/>
          <w:szCs w:val="30"/>
          <w:lang w:val="zh-CN"/>
        </w:rPr>
        <w:t>安徽省粮食和物资储备保障中心（国家粮食安徽交易中心）收</w:t>
      </w:r>
      <w:r>
        <w:rPr>
          <w:rFonts w:hint="eastAsia" w:ascii="仿宋_GB2312" w:eastAsia="仿宋_GB2312"/>
          <w:sz w:val="30"/>
        </w:rPr>
        <w:t>到货款后，</w:t>
      </w:r>
      <w:r>
        <w:rPr>
          <w:rFonts w:hint="eastAsia" w:ascii="仿宋_GB2312" w:hAnsi="宋体" w:eastAsia="仿宋_GB2312"/>
          <w:sz w:val="30"/>
          <w:szCs w:val="30"/>
          <w:lang w:val="zh-CN"/>
        </w:rPr>
        <w:t>按要求开具销售合同《出库通知单》</w:t>
      </w:r>
      <w:r>
        <w:rPr>
          <w:rFonts w:hint="eastAsia" w:ascii="仿宋_GB2312" w:eastAsia="仿宋_GB2312"/>
          <w:sz w:val="30"/>
        </w:rPr>
        <w:t>。</w:t>
      </w:r>
    </w:p>
    <w:p w14:paraId="4E2C325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368C1DE1">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油脂出入库时交易双方共同进行检斤验质。销售标的质量以清单公示为准；数量以承储库点计量衡器为准，承储库计量衡器必须是经具有国家认可资质的技术监督部门鉴定合格的，且在鉴定的有效期内。</w:t>
      </w:r>
    </w:p>
    <w:p w14:paraId="5CCC1CEB">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第二十七条 </w:t>
      </w:r>
      <w:r>
        <w:rPr>
          <w:rFonts w:hint="eastAsia" w:ascii="仿宋_GB2312" w:eastAsia="仿宋_GB2312"/>
          <w:sz w:val="30"/>
          <w:szCs w:val="30"/>
        </w:rPr>
        <w:t>陈油出库时中标方需按中标销售合同价格在</w:t>
      </w:r>
      <w:r>
        <w:rPr>
          <w:rFonts w:hint="eastAsia" w:ascii="仿宋_GB2312" w:hAnsi="Times New Roman" w:eastAsia="仿宋_GB2312" w:cs="Times New Roman"/>
          <w:kern w:val="2"/>
          <w:sz w:val="30"/>
          <w:szCs w:val="30"/>
          <w:lang w:val="en-US" w:eastAsia="zh-CN" w:bidi="ar-SA"/>
        </w:rPr>
        <w:t>交易合同生效之日</w:t>
      </w:r>
      <w:r>
        <w:rPr>
          <w:rFonts w:hint="eastAsia" w:ascii="仿宋_GB2312" w:eastAsia="仿宋_GB2312" w:cs="Times New Roman"/>
          <w:kern w:val="2"/>
          <w:sz w:val="30"/>
          <w:szCs w:val="30"/>
          <w:lang w:val="en-US" w:eastAsia="zh-CN" w:bidi="ar-SA"/>
        </w:rPr>
        <w:t>起</w:t>
      </w:r>
      <w:r>
        <w:rPr>
          <w:rFonts w:hint="eastAsia" w:ascii="仿宋_GB2312" w:eastAsia="仿宋_GB2312"/>
          <w:sz w:val="30"/>
          <w:szCs w:val="30"/>
          <w:lang w:val="en-US" w:eastAsia="zh-CN"/>
        </w:rPr>
        <w:t>16</w:t>
      </w:r>
      <w:r>
        <w:rPr>
          <w:rFonts w:hint="eastAsia" w:ascii="仿宋_GB2312" w:eastAsia="仿宋_GB2312"/>
          <w:sz w:val="30"/>
          <w:szCs w:val="30"/>
        </w:rPr>
        <w:t>日内将销售全部货款汇入安徽省粮食和物资储备保障中心（国家粮食安徽交易中心），并开具出库单到库方提货，陈油出库结束后，双方签署统一格式的《验收确认单》，安徽省粮食和物资储备保障中心（国家粮食安徽交易中心）将货款拨付给库方。</w:t>
      </w:r>
    </w:p>
    <w:p w14:paraId="2DE611E8">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rPr>
        <w:t>新油入库</w:t>
      </w:r>
      <w:r>
        <w:rPr>
          <w:rFonts w:hint="eastAsia" w:ascii="仿宋_GB2312" w:hAnsi="宋体" w:eastAsia="仿宋_GB2312"/>
          <w:sz w:val="30"/>
          <w:szCs w:val="30"/>
          <w:lang w:val="zh-CN"/>
        </w:rPr>
        <w:t>验收合格后</w:t>
      </w:r>
      <w:r>
        <w:rPr>
          <w:rFonts w:ascii="仿宋_GB2312" w:eastAsia="仿宋_GB2312"/>
          <w:sz w:val="30"/>
          <w:szCs w:val="30"/>
        </w:rPr>
        <w:t>5</w:t>
      </w:r>
      <w:r>
        <w:rPr>
          <w:rFonts w:hint="eastAsia" w:ascii="仿宋_GB2312" w:eastAsia="仿宋_GB2312"/>
          <w:sz w:val="30"/>
          <w:szCs w:val="30"/>
        </w:rPr>
        <w:t>日内通过安徽省粮食和物资储备保障中心（国家粮食安徽交易中心）结算采购货款。</w:t>
      </w:r>
    </w:p>
    <w:p w14:paraId="390A7E00">
      <w:pPr>
        <w:adjustRightInd w:val="0"/>
        <w:snapToGrid w:val="0"/>
        <w:spacing w:line="560" w:lineRule="exact"/>
        <w:ind w:firstLine="600" w:firstLineChars="200"/>
        <w:rPr>
          <w:rFonts w:ascii="仿宋_GB2312" w:eastAsia="仿宋_GB2312"/>
          <w:sz w:val="30"/>
          <w:szCs w:val="30"/>
        </w:rPr>
      </w:pPr>
      <w:bookmarkStart w:id="0" w:name="_GoBack"/>
      <w:bookmarkEnd w:id="0"/>
      <w:r>
        <w:rPr>
          <w:rFonts w:hint="eastAsia" w:ascii="仿宋_GB2312" w:eastAsia="仿宋_GB2312"/>
          <w:sz w:val="30"/>
          <w:szCs w:val="30"/>
        </w:rPr>
        <w:t>销售、采购款均通过交易中心结算，且双方互相提供发票。</w:t>
      </w:r>
    </w:p>
    <w:p w14:paraId="59F76A6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bCs/>
          <w:sz w:val="30"/>
          <w:szCs w:val="30"/>
        </w:rPr>
        <w:t>第二十八条</w:t>
      </w:r>
      <w:r>
        <w:rPr>
          <w:rFonts w:hint="eastAsia" w:ascii="仿宋_GB2312" w:eastAsia="仿宋_GB2312"/>
          <w:sz w:val="30"/>
          <w:szCs w:val="30"/>
        </w:rPr>
        <w:t xml:space="preserve"> 油脂验收合格，根据国家有关政策规定开具正式发票交给对方后，双方签署统一格式的《验收确认单》一式三份，双方各持一份，另一份交安徽省粮食和物资储备保障中心（国家粮食安徽交易中心）作为结算依据，该批货物交割完毕。</w:t>
      </w:r>
    </w:p>
    <w:p w14:paraId="599E3A0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第二十九条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265AE0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第三十条</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按销售标的成交金额的2‰</w:t>
      </w:r>
      <w:r>
        <w:rPr>
          <w:rFonts w:hint="eastAsia" w:ascii="仿宋_GB2312" w:eastAsia="仿宋_GB2312"/>
          <w:sz w:val="30"/>
          <w:szCs w:val="30"/>
        </w:rPr>
        <w:t>收取手续费，交易手续费从客户保证金中扣除。</w:t>
      </w:r>
    </w:p>
    <w:p w14:paraId="249B22EE">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 xml:space="preserve">第三十一条 </w:t>
      </w:r>
      <w:r>
        <w:rPr>
          <w:rFonts w:hint="eastAsia" w:ascii="仿宋_GB2312" w:hAnsi="宋体" w:eastAsia="仿宋_GB2312"/>
          <w:sz w:val="30"/>
          <w:szCs w:val="30"/>
          <w:lang w:val="zh-CN"/>
        </w:rPr>
        <w:t>中标方预交的履约保证金，在成交后可转作货款，</w:t>
      </w:r>
      <w:r>
        <w:rPr>
          <w:rFonts w:hint="eastAsia" w:ascii="仿宋_GB2312" w:eastAsia="仿宋_GB2312"/>
          <w:sz w:val="30"/>
        </w:rPr>
        <w:t>合同执行完毕后退回。</w:t>
      </w:r>
      <w:r>
        <w:rPr>
          <w:rFonts w:hint="eastAsia" w:ascii="仿宋_GB2312" w:eastAsia="仿宋_GB2312"/>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6201D4B">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48D4684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第三十二条 </w:t>
      </w:r>
      <w:r>
        <w:rPr>
          <w:rFonts w:hint="eastAsia" w:ascii="仿宋_GB2312" w:eastAsia="仿宋_GB2312"/>
          <w:sz w:val="30"/>
          <w:szCs w:val="30"/>
        </w:rPr>
        <w:t>中标客户没有在合同规定的时间内完成新油入库，视为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35AA739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第三十三条 </w:t>
      </w:r>
      <w:r>
        <w:rPr>
          <w:rFonts w:hint="eastAsia" w:ascii="仿宋_GB2312" w:eastAsia="仿宋_GB2312"/>
          <w:sz w:val="30"/>
          <w:szCs w:val="30"/>
        </w:rPr>
        <w:t>库方未能在规定的时间积极配合，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54891F64">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3BD30E6">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第三十五条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6CF2E610">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76B2DD30">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第三十六条 </w:t>
      </w:r>
      <w:r>
        <w:rPr>
          <w:rFonts w:hint="eastAsia" w:ascii="仿宋_GB2312" w:eastAsia="仿宋_GB231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p>
    <w:p w14:paraId="308F373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第三十七条</w:t>
      </w:r>
      <w:r>
        <w:rPr>
          <w:rFonts w:hint="eastAsia" w:ascii="仿宋_GB2312" w:eastAsia="仿宋_GB2312"/>
          <w:sz w:val="30"/>
          <w:szCs w:val="30"/>
        </w:rPr>
        <w:t xml:space="preserve"> 本交易细则由安徽省粮食和物资储备保障中心（国家粮食安徽交易中心）负责解释。</w:t>
      </w:r>
    </w:p>
    <w:p w14:paraId="7740EDC7">
      <w:pPr>
        <w:widowControl/>
        <w:adjustRightInd w:val="0"/>
        <w:snapToGrid w:val="0"/>
        <w:spacing w:line="560" w:lineRule="exact"/>
        <w:jc w:val="left"/>
        <w:rPr>
          <w:rFonts w:ascii="仿宋_GB2312" w:hAnsi="仿宋_GB2312" w:eastAsia="仿宋_GB2312" w:cs="仿宋_GB2312"/>
          <w:kern w:val="0"/>
          <w:sz w:val="32"/>
          <w:szCs w:val="32"/>
          <w:u w:val="single"/>
        </w:rPr>
      </w:pPr>
    </w:p>
    <w:p w14:paraId="25CFAF2D">
      <w:pPr>
        <w:spacing w:line="600" w:lineRule="exact"/>
        <w:rPr>
          <w:rFonts w:ascii="黑体" w:hAnsi="黑体" w:eastAsia="黑体" w:cs="黑体"/>
          <w:b/>
          <w:bCs/>
          <w:sz w:val="32"/>
          <w:szCs w:val="32"/>
        </w:rPr>
      </w:pPr>
    </w:p>
    <w:p w14:paraId="5BD7AF1B">
      <w:pPr>
        <w:spacing w:line="600" w:lineRule="exact"/>
        <w:rPr>
          <w:rFonts w:ascii="黑体" w:hAnsi="黑体" w:eastAsia="黑体" w:cs="黑体"/>
          <w:b/>
          <w:bCs/>
          <w:sz w:val="32"/>
          <w:szCs w:val="32"/>
        </w:rPr>
      </w:pPr>
    </w:p>
    <w:p w14:paraId="13CE728D">
      <w:pPr>
        <w:spacing w:line="600" w:lineRule="exact"/>
        <w:rPr>
          <w:rFonts w:ascii="黑体" w:hAnsi="黑体" w:eastAsia="黑体" w:cs="黑体"/>
          <w:b/>
          <w:bCs/>
          <w:sz w:val="32"/>
          <w:szCs w:val="32"/>
        </w:rPr>
      </w:pPr>
    </w:p>
    <w:p w14:paraId="0DB71EB5">
      <w:pPr>
        <w:spacing w:line="600" w:lineRule="exact"/>
        <w:rPr>
          <w:rFonts w:ascii="黑体" w:hAnsi="黑体" w:eastAsia="黑体" w:cs="黑体"/>
          <w:b/>
          <w:bCs/>
          <w:sz w:val="32"/>
          <w:szCs w:val="32"/>
        </w:rPr>
      </w:pPr>
    </w:p>
    <w:p w14:paraId="25664A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1CD92825"/>
    <w:rsid w:val="000266DE"/>
    <w:rsid w:val="00027CA0"/>
    <w:rsid w:val="00027D4B"/>
    <w:rsid w:val="000A17D2"/>
    <w:rsid w:val="000C08F0"/>
    <w:rsid w:val="000F1817"/>
    <w:rsid w:val="001217CA"/>
    <w:rsid w:val="00142247"/>
    <w:rsid w:val="00144B86"/>
    <w:rsid w:val="001C17F2"/>
    <w:rsid w:val="002376EB"/>
    <w:rsid w:val="002C4E8A"/>
    <w:rsid w:val="002C7840"/>
    <w:rsid w:val="00354332"/>
    <w:rsid w:val="003A2AB0"/>
    <w:rsid w:val="003B1428"/>
    <w:rsid w:val="003B4BD8"/>
    <w:rsid w:val="0040281D"/>
    <w:rsid w:val="00425CF6"/>
    <w:rsid w:val="00496377"/>
    <w:rsid w:val="00501987"/>
    <w:rsid w:val="00504F40"/>
    <w:rsid w:val="00646685"/>
    <w:rsid w:val="006D3516"/>
    <w:rsid w:val="00750CCC"/>
    <w:rsid w:val="00787663"/>
    <w:rsid w:val="007C396A"/>
    <w:rsid w:val="007D1210"/>
    <w:rsid w:val="00847D43"/>
    <w:rsid w:val="008A7B89"/>
    <w:rsid w:val="008B09EA"/>
    <w:rsid w:val="00945B33"/>
    <w:rsid w:val="00975601"/>
    <w:rsid w:val="009A3CE4"/>
    <w:rsid w:val="009B74CA"/>
    <w:rsid w:val="009D0E8B"/>
    <w:rsid w:val="00A23647"/>
    <w:rsid w:val="00A579D9"/>
    <w:rsid w:val="00A85CDA"/>
    <w:rsid w:val="00AF5FB8"/>
    <w:rsid w:val="00B43672"/>
    <w:rsid w:val="00B87A3F"/>
    <w:rsid w:val="00BC7FE1"/>
    <w:rsid w:val="00BD4CC5"/>
    <w:rsid w:val="00C05B20"/>
    <w:rsid w:val="00C91E02"/>
    <w:rsid w:val="00CD289F"/>
    <w:rsid w:val="00D00FBE"/>
    <w:rsid w:val="00D707E4"/>
    <w:rsid w:val="00DB53B8"/>
    <w:rsid w:val="00E01E00"/>
    <w:rsid w:val="00E465ED"/>
    <w:rsid w:val="00EA1DCB"/>
    <w:rsid w:val="00FE320C"/>
    <w:rsid w:val="06BD1E8C"/>
    <w:rsid w:val="1CD92825"/>
    <w:rsid w:val="54672089"/>
    <w:rsid w:val="550F579A"/>
    <w:rsid w:val="646E5DEB"/>
    <w:rsid w:val="706367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Hyperlink"/>
    <w:qFormat/>
    <w:uiPriority w:val="0"/>
    <w:rPr>
      <w:color w:val="0000FF"/>
      <w:u w:val="single"/>
    </w:rPr>
  </w:style>
  <w:style w:type="character" w:customStyle="1" w:styleId="9">
    <w:name w:val="页眉 字符"/>
    <w:basedOn w:val="6"/>
    <w:link w:val="3"/>
    <w:qFormat/>
    <w:uiPriority w:val="0"/>
    <w:rPr>
      <w:rFonts w:ascii="Times New Roman" w:hAnsi="Times New Roman" w:eastAsia="宋体" w:cs="Times New Roman"/>
      <w:kern w:val="2"/>
      <w:sz w:val="18"/>
      <w:szCs w:val="18"/>
    </w:rPr>
  </w:style>
  <w:style w:type="character" w:customStyle="1" w:styleId="10">
    <w:name w:val="页脚 字符"/>
    <w:basedOn w:val="6"/>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3612</Words>
  <Characters>3706</Characters>
  <Lines>27</Lines>
  <Paragraphs>7</Paragraphs>
  <TotalTime>40</TotalTime>
  <ScaleCrop>false</ScaleCrop>
  <LinksUpToDate>false</LinksUpToDate>
  <CharactersWithSpaces>3784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Lk</cp:lastModifiedBy>
  <dcterms:modified xsi:type="dcterms:W3CDTF">2025-10-28T09:29:15Z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47E8177C57BC4F2FBCD5066E4E32F512_11</vt:lpwstr>
  </property>
  <property fmtid="{D5CDD505-2E9C-101B-9397-08002B2CF9AE}" pid="4" name="KSOTemplateDocerSaveRecord">
    <vt:lpwstr>eyJoZGlkIjoiYzgzNjJiYzc5NzRmZmQyYWViZDYwNmNmNTc1MGU1NjMiLCJ1c2VySWQiOiIyNjAzOTAzMDAifQ==</vt:lpwstr>
  </property>
</Properties>
</file>