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A4E6E9">
      <w:pPr>
        <w:adjustRightInd w:val="0"/>
        <w:snapToGrid w:val="0"/>
        <w:spacing w:line="560" w:lineRule="exact"/>
        <w:jc w:val="center"/>
        <w:rPr>
          <w:rFonts w:hint="eastAsia" w:ascii="宋体" w:hAnsi="宋体" w:cs="宋体"/>
          <w:b/>
          <w:sz w:val="44"/>
          <w:szCs w:val="44"/>
        </w:rPr>
      </w:pPr>
      <w:r>
        <w:rPr>
          <w:rFonts w:hint="eastAsia" w:ascii="宋体" w:hAnsi="宋体" w:cs="宋体"/>
          <w:b/>
          <w:sz w:val="44"/>
          <w:szCs w:val="44"/>
        </w:rPr>
        <w:t>东至县粮食购销有限责任公司稻谷“购销统一”竞价交易细则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bCs/>
          <w:sz w:val="30"/>
          <w:szCs w:val="30"/>
        </w:rPr>
        <w:t>第一条</w:t>
      </w:r>
      <w:r>
        <w:rPr>
          <w:rFonts w:hint="eastAsia" w:ascii="仿宋_GB2312" w:eastAsia="仿宋_GB2312"/>
          <w:sz w:val="30"/>
          <w:szCs w:val="30"/>
        </w:rPr>
        <w:t xml:space="preserve">  受东至县粮食购销有限责任公司的委托，安徽省粮食和物资储备保障中心（国家粮食安徽交易中心）承担本次稻谷“购销统一”竞价交易的具体工作。现制定本交易细则。</w:t>
      </w:r>
    </w:p>
    <w:p w14:paraId="526FC035">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bCs/>
          <w:sz w:val="30"/>
          <w:szCs w:val="30"/>
        </w:rPr>
        <w:t>第二条</w:t>
      </w:r>
      <w:r>
        <w:rPr>
          <w:rFonts w:hint="eastAsia" w:ascii="仿宋_GB2312" w:eastAsia="仿宋_GB2312"/>
          <w:sz w:val="30"/>
          <w:szCs w:val="30"/>
        </w:rPr>
        <w:t xml:space="preserve"> 承储库点（以下简称“库方”）作为交易活动的代表，具体负责出入库、商务处理等工作，并承担相应的责任。参加交易的销售、采购</w:t>
      </w:r>
      <w:r>
        <w:rPr>
          <w:rFonts w:hint="eastAsia" w:ascii="仿宋_GB2312" w:eastAsia="仿宋_GB2312"/>
          <w:sz w:val="30"/>
          <w:szCs w:val="30"/>
          <w:lang w:val="en-US" w:eastAsia="zh-CN"/>
        </w:rPr>
        <w:t>稻谷</w:t>
      </w:r>
      <w:r>
        <w:rPr>
          <w:rFonts w:hint="eastAsia" w:ascii="仿宋_GB2312" w:eastAsia="仿宋_GB2312"/>
          <w:sz w:val="30"/>
          <w:szCs w:val="30"/>
        </w:rPr>
        <w:t>方（参与竞价的供货方和购买方必须是同一企业，以下简称“交易客户”）必须是</w:t>
      </w:r>
      <w:r>
        <w:rPr>
          <w:rFonts w:hint="eastAsia" w:ascii="仿宋_GB2312" w:eastAsia="仿宋_GB2312"/>
          <w:sz w:val="30"/>
          <w:szCs w:val="30"/>
          <w:lang w:val="zh-CN"/>
        </w:rPr>
        <w:t>自愿报名的国内具有粮食经营资格</w:t>
      </w:r>
      <w:r>
        <w:rPr>
          <w:rFonts w:hint="eastAsia" w:ascii="仿宋_GB2312" w:eastAsia="仿宋_GB2312"/>
          <w:sz w:val="30"/>
          <w:szCs w:val="30"/>
        </w:rPr>
        <w:t>的企业和个体工商户。</w:t>
      </w:r>
    </w:p>
    <w:p w14:paraId="2A8B9268">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lang w:val="en-US" w:eastAsia="zh-CN"/>
        </w:rPr>
        <w:t xml:space="preserve"> </w:t>
      </w:r>
      <w:r>
        <w:rPr>
          <w:rFonts w:hint="eastAsia" w:ascii="仿宋_GB2312" w:eastAsia="仿宋_GB2312"/>
          <w:b/>
          <w:bCs/>
          <w:sz w:val="30"/>
          <w:szCs w:val="30"/>
        </w:rPr>
        <w:t>第三条</w:t>
      </w:r>
      <w:r>
        <w:rPr>
          <w:rFonts w:hint="eastAsia" w:ascii="仿宋_GB2312" w:eastAsia="仿宋_GB2312"/>
          <w:sz w:val="30"/>
          <w:szCs w:val="30"/>
        </w:rPr>
        <w:t xml:space="preserve"> 安徽省粮食和物资储备保障中心（国家粮食安徽交易中心）按照“公开、公平、公正”的原则组织本次交易，参加交易的各方必须遵守本细则。 </w:t>
      </w:r>
    </w:p>
    <w:p w14:paraId="682AFA0E">
      <w:pPr>
        <w:adjustRightInd w:val="0"/>
        <w:snapToGrid w:val="0"/>
        <w:spacing w:line="560" w:lineRule="exact"/>
        <w:ind w:firstLine="602" w:firstLineChars="200"/>
        <w:jc w:val="center"/>
        <w:rPr>
          <w:rFonts w:hint="eastAsia" w:ascii="仿宋_GB2312" w:eastAsia="仿宋_GB2312"/>
          <w:b/>
          <w:bCs/>
          <w:sz w:val="30"/>
          <w:szCs w:val="30"/>
        </w:rPr>
      </w:pPr>
      <w:r>
        <w:rPr>
          <w:rFonts w:hint="eastAsia" w:ascii="仿宋_GB2312" w:eastAsia="仿宋_GB2312"/>
          <w:b/>
          <w:bCs/>
          <w:sz w:val="30"/>
          <w:szCs w:val="30"/>
        </w:rPr>
        <w:t>第二章 交易准备</w:t>
      </w:r>
    </w:p>
    <w:p w14:paraId="3D18408B">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bCs/>
          <w:sz w:val="30"/>
          <w:szCs w:val="30"/>
        </w:rPr>
        <w:t>第四条</w:t>
      </w:r>
      <w:r>
        <w:rPr>
          <w:rFonts w:hint="eastAsia" w:ascii="仿宋_GB2312" w:eastAsia="仿宋_GB2312"/>
          <w:sz w:val="30"/>
          <w:szCs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bCs/>
          <w:sz w:val="30"/>
          <w:szCs w:val="30"/>
        </w:rPr>
        <w:t>第五条</w:t>
      </w:r>
      <w:r>
        <w:rPr>
          <w:rFonts w:hint="eastAsia" w:ascii="仿宋_GB2312" w:eastAsia="仿宋_GB2312"/>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lang w:val="en-US" w:eastAsia="zh-CN"/>
        </w:rPr>
        <w:t>委托方和</w:t>
      </w:r>
      <w:r>
        <w:rPr>
          <w:rFonts w:hint="eastAsia" w:ascii="仿宋_GB2312" w:eastAsia="仿宋_GB2312"/>
          <w:sz w:val="30"/>
          <w:szCs w:val="30"/>
        </w:rPr>
        <w:t>参加交易的会员须预交保证金</w:t>
      </w:r>
      <w:r>
        <w:rPr>
          <w:rFonts w:hint="eastAsia" w:ascii="仿宋_GB2312" w:eastAsia="仿宋_GB2312"/>
          <w:sz w:val="30"/>
          <w:szCs w:val="30"/>
          <w:lang w:val="en-US" w:eastAsia="zh-CN"/>
        </w:rPr>
        <w:t>220</w:t>
      </w:r>
      <w:r>
        <w:rPr>
          <w:rFonts w:hint="eastAsia" w:ascii="仿宋_GB2312" w:eastAsia="仿宋_GB2312"/>
          <w:sz w:val="30"/>
          <w:szCs w:val="30"/>
        </w:rPr>
        <w:t>元/吨</w:t>
      </w:r>
      <w:r>
        <w:rPr>
          <w:rFonts w:hint="eastAsia" w:ascii="仿宋_GB2312" w:eastAsia="仿宋_GB2312"/>
          <w:sz w:val="30"/>
          <w:szCs w:val="30"/>
          <w:lang w:eastAsia="zh-CN"/>
        </w:rPr>
        <w:t>，</w:t>
      </w:r>
      <w:r>
        <w:rPr>
          <w:rFonts w:hint="eastAsia" w:ascii="仿宋_GB2312" w:eastAsia="仿宋_GB2312"/>
          <w:sz w:val="30"/>
          <w:szCs w:val="30"/>
        </w:rPr>
        <w:t>（含采购交易保证金</w:t>
      </w:r>
      <w:r>
        <w:rPr>
          <w:rFonts w:hint="eastAsia" w:ascii="仿宋_GB2312" w:eastAsia="仿宋_GB2312"/>
          <w:sz w:val="30"/>
          <w:szCs w:val="30"/>
          <w:lang w:val="en-US" w:eastAsia="zh-CN"/>
        </w:rPr>
        <w:t>10</w:t>
      </w:r>
      <w:r>
        <w:rPr>
          <w:rFonts w:hint="eastAsia" w:ascii="仿宋_GB2312" w:eastAsia="仿宋_GB2312"/>
          <w:sz w:val="30"/>
          <w:szCs w:val="30"/>
        </w:rPr>
        <w:t>元/吨、采购履约保证金</w:t>
      </w:r>
      <w:r>
        <w:rPr>
          <w:rFonts w:hint="eastAsia" w:ascii="仿宋_GB2312" w:eastAsia="仿宋_GB2312"/>
          <w:sz w:val="30"/>
          <w:szCs w:val="30"/>
          <w:lang w:val="en-US" w:eastAsia="zh-CN"/>
        </w:rPr>
        <w:t>100</w:t>
      </w:r>
      <w:r>
        <w:rPr>
          <w:rFonts w:hint="eastAsia" w:ascii="仿宋_GB2312" w:eastAsia="仿宋_GB2312"/>
          <w:sz w:val="30"/>
          <w:szCs w:val="30"/>
        </w:rPr>
        <w:t>元/吨，销售交易保证金</w:t>
      </w:r>
      <w:r>
        <w:rPr>
          <w:rFonts w:hint="eastAsia" w:ascii="仿宋_GB2312" w:eastAsia="仿宋_GB2312"/>
          <w:sz w:val="30"/>
          <w:szCs w:val="30"/>
          <w:lang w:val="en-US" w:eastAsia="zh-CN"/>
        </w:rPr>
        <w:t>10</w:t>
      </w:r>
      <w:r>
        <w:rPr>
          <w:rFonts w:hint="eastAsia" w:ascii="仿宋_GB2312" w:eastAsia="仿宋_GB2312"/>
          <w:sz w:val="30"/>
          <w:szCs w:val="30"/>
        </w:rPr>
        <w:t>元/吨、销售履约保证金</w:t>
      </w:r>
      <w:r>
        <w:rPr>
          <w:rFonts w:hint="eastAsia" w:ascii="仿宋_GB2312" w:eastAsia="仿宋_GB2312"/>
          <w:sz w:val="30"/>
          <w:szCs w:val="30"/>
          <w:lang w:val="en-US" w:eastAsia="zh-CN"/>
        </w:rPr>
        <w:t>100</w:t>
      </w:r>
      <w:r>
        <w:rPr>
          <w:rFonts w:hint="eastAsia" w:ascii="仿宋_GB2312" w:eastAsia="仿宋_GB2312"/>
          <w:sz w:val="30"/>
          <w:szCs w:val="30"/>
        </w:rPr>
        <w:t>元/吨）</w:t>
      </w:r>
      <w:r>
        <w:rPr>
          <w:rFonts w:hint="eastAsia" w:ascii="仿宋_GB2312" w:eastAsia="仿宋_GB2312"/>
          <w:sz w:val="30"/>
          <w:szCs w:val="30"/>
          <w:lang w:eastAsia="zh-CN"/>
        </w:rPr>
        <w:t>，</w:t>
      </w:r>
      <w:r>
        <w:rPr>
          <w:rFonts w:hint="eastAsia" w:ascii="仿宋_GB2312" w:eastAsia="仿宋_GB2312"/>
          <w:sz w:val="30"/>
          <w:szCs w:val="30"/>
        </w:rPr>
        <w:t>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bCs/>
          <w:sz w:val="30"/>
          <w:szCs w:val="30"/>
        </w:rPr>
        <w:t>第六条</w:t>
      </w:r>
      <w:r>
        <w:rPr>
          <w:rFonts w:hint="eastAsia" w:ascii="仿宋_GB2312" w:eastAsia="仿宋_GB2312"/>
          <w:sz w:val="30"/>
          <w:szCs w:val="30"/>
        </w:rPr>
        <w:t xml:space="preserve"> 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bCs/>
          <w:sz w:val="30"/>
          <w:szCs w:val="30"/>
        </w:rPr>
        <w:t>第七条</w:t>
      </w:r>
      <w:r>
        <w:rPr>
          <w:rFonts w:hint="eastAsia" w:ascii="仿宋_GB2312" w:eastAsia="仿宋_GB2312"/>
          <w:sz w:val="30"/>
          <w:szCs w:val="30"/>
        </w:rPr>
        <w:t xml:space="preserve"> 安徽省粮食和物资储备保障中心（国家粮食安徽交易中心）在中国粮食网（</w:t>
      </w:r>
      <w:r>
        <w:rPr>
          <w:rFonts w:hint="eastAsia" w:ascii="仿宋_GB2312" w:eastAsia="仿宋_GB2312"/>
          <w:sz w:val="30"/>
          <w:szCs w:val="30"/>
        </w:rPr>
        <w:fldChar w:fldCharType="begin"/>
      </w:r>
      <w:r>
        <w:rPr>
          <w:rFonts w:hint="eastAsia" w:ascii="仿宋_GB2312" w:eastAsia="仿宋_GB2312"/>
          <w:sz w:val="30"/>
          <w:szCs w:val="30"/>
        </w:rPr>
        <w:instrText xml:space="preserve"> HYPERLINK "http://www.cereal.com.cn/" </w:instrText>
      </w:r>
      <w:r>
        <w:rPr>
          <w:rFonts w:hint="eastAsia" w:ascii="仿宋_GB2312" w:eastAsia="仿宋_GB2312"/>
          <w:sz w:val="30"/>
          <w:szCs w:val="30"/>
        </w:rPr>
        <w:fldChar w:fldCharType="separate"/>
      </w:r>
      <w:r>
        <w:rPr>
          <w:rFonts w:hint="eastAsia" w:ascii="仿宋_GB2312" w:eastAsia="仿宋_GB2312"/>
          <w:sz w:val="30"/>
          <w:szCs w:val="30"/>
        </w:rPr>
        <w:t>www.cereal.com.cn</w:t>
      </w:r>
      <w:r>
        <w:rPr>
          <w:rFonts w:hint="eastAsia" w:ascii="仿宋_GB2312" w:eastAsia="仿宋_GB2312"/>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ind w:firstLine="602" w:firstLineChars="200"/>
        <w:jc w:val="center"/>
        <w:rPr>
          <w:rFonts w:hint="eastAsia" w:ascii="仿宋_GB2312" w:eastAsia="仿宋_GB2312"/>
          <w:b/>
          <w:bCs/>
          <w:sz w:val="30"/>
          <w:szCs w:val="30"/>
        </w:rPr>
      </w:pPr>
      <w:r>
        <w:rPr>
          <w:rFonts w:hint="eastAsia" w:ascii="仿宋_GB2312" w:eastAsia="仿宋_GB2312"/>
          <w:b/>
          <w:bCs/>
          <w:sz w:val="30"/>
          <w:szCs w:val="30"/>
        </w:rPr>
        <w:t>第三章 交易地点、时间</w:t>
      </w:r>
    </w:p>
    <w:p w14:paraId="65904506">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bCs/>
          <w:sz w:val="30"/>
          <w:szCs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bCs/>
          <w:sz w:val="30"/>
          <w:szCs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第十条</w:t>
      </w:r>
      <w:r>
        <w:rPr>
          <w:rFonts w:hint="eastAsia" w:ascii="仿宋_GB2312" w:eastAsia="仿宋_GB2312"/>
          <w:sz w:val="30"/>
          <w:szCs w:val="30"/>
          <w:lang w:val="en-US" w:eastAsia="zh-CN"/>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第十一条 </w:t>
      </w:r>
      <w:r>
        <w:rPr>
          <w:rFonts w:hint="eastAsia" w:ascii="仿宋_GB2312" w:eastAsia="仿宋_GB2312"/>
          <w:sz w:val="30"/>
          <w:szCs w:val="30"/>
          <w:lang w:val="en-US" w:eastAsia="zh-CN"/>
        </w:rPr>
        <w:t>交易时间如有变更，安徽省粮食和物资储备保障中心（国家粮食安徽交易中心）将提前公告。</w:t>
      </w:r>
    </w:p>
    <w:p w14:paraId="642710B9">
      <w:pPr>
        <w:adjustRightInd w:val="0"/>
        <w:snapToGrid w:val="0"/>
        <w:spacing w:line="560" w:lineRule="exact"/>
        <w:ind w:firstLine="602" w:firstLineChars="200"/>
        <w:jc w:val="center"/>
        <w:rPr>
          <w:rFonts w:hint="eastAsia" w:ascii="仿宋_GB2312" w:eastAsia="仿宋_GB2312"/>
          <w:b/>
          <w:bCs/>
          <w:sz w:val="30"/>
          <w:szCs w:val="30"/>
          <w:lang w:val="en-US" w:eastAsia="zh-CN"/>
        </w:rPr>
      </w:pPr>
      <w:r>
        <w:rPr>
          <w:rFonts w:hint="eastAsia" w:ascii="仿宋_GB2312" w:eastAsia="仿宋_GB2312"/>
          <w:b/>
          <w:bCs/>
          <w:sz w:val="30"/>
          <w:szCs w:val="30"/>
          <w:lang w:val="en-US" w:eastAsia="zh-CN"/>
        </w:rPr>
        <w:t>第四章 交易秩序</w:t>
      </w:r>
    </w:p>
    <w:p w14:paraId="1FCED849">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第十二条 </w:t>
      </w:r>
      <w:r>
        <w:rPr>
          <w:rFonts w:hint="eastAsia" w:ascii="仿宋_GB2312" w:eastAsia="仿宋_GB2312"/>
          <w:sz w:val="30"/>
          <w:szCs w:val="30"/>
          <w:lang w:val="en-US" w:eastAsia="zh-CN"/>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第十三条</w:t>
      </w:r>
      <w:r>
        <w:rPr>
          <w:rFonts w:hint="eastAsia" w:ascii="仿宋_GB2312" w:eastAsia="仿宋_GB2312"/>
          <w:sz w:val="30"/>
          <w:szCs w:val="30"/>
          <w:lang w:val="en-US" w:eastAsia="zh-CN"/>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第十四条 </w:t>
      </w:r>
      <w:r>
        <w:rPr>
          <w:rFonts w:hint="eastAsia" w:ascii="仿宋_GB2312" w:eastAsia="仿宋_GB2312"/>
          <w:sz w:val="30"/>
          <w:szCs w:val="30"/>
          <w:lang w:val="en-US" w:eastAsia="zh-CN"/>
        </w:rPr>
        <w:t>交易大厅内禁止吸烟、打电话和大声喧哗。进场人员应爱护交易设备、设施，自觉维护场内秩序，服从工作人员指挥。</w:t>
      </w:r>
    </w:p>
    <w:p w14:paraId="41A9F4B4">
      <w:pPr>
        <w:adjustRightInd w:val="0"/>
        <w:snapToGrid w:val="0"/>
        <w:spacing w:line="560" w:lineRule="exact"/>
        <w:ind w:firstLine="602" w:firstLineChars="200"/>
        <w:jc w:val="center"/>
        <w:rPr>
          <w:rFonts w:hint="eastAsia" w:ascii="仿宋_GB2312" w:eastAsia="仿宋_GB2312"/>
          <w:b/>
          <w:bCs/>
          <w:sz w:val="30"/>
          <w:szCs w:val="30"/>
          <w:lang w:val="en-US" w:eastAsia="zh-CN"/>
        </w:rPr>
      </w:pPr>
      <w:r>
        <w:rPr>
          <w:rFonts w:hint="eastAsia" w:ascii="仿宋_GB2312" w:eastAsia="仿宋_GB2312"/>
          <w:b/>
          <w:bCs/>
          <w:sz w:val="30"/>
          <w:szCs w:val="30"/>
          <w:lang w:val="en-US" w:eastAsia="zh-CN"/>
        </w:rPr>
        <w:t>第五章 交易程序</w:t>
      </w:r>
    </w:p>
    <w:p w14:paraId="10198F3F">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第十五条 </w:t>
      </w:r>
      <w:r>
        <w:rPr>
          <w:rFonts w:hint="eastAsia" w:ascii="仿宋_GB2312" w:eastAsia="仿宋_GB2312"/>
          <w:sz w:val="30"/>
          <w:szCs w:val="30"/>
          <w:lang w:val="en-US" w:eastAsia="zh-CN"/>
        </w:rPr>
        <w:t xml:space="preserve"> 本次计划采购2025年产长粒籼糯稻3000吨，销售标的为此批采购的长粒籼糯稻，采购的质量标准为：按GB1350-2009三等及以上标准执行，其中：出糙率≥75.0%、整精米率≥44.0%、杂质含量≤1.5%、水分含量≤13.5%、黄粒米含量≤0.5%、谷外糙米含量≤2.0%、互混率≤5%，色泽、气味正常；为2025年度种植生产的新粮，无泥谷，基本无虫粮；储存品质均达到宜存指标，其中脂肪酸值(KOH/干基)≤18mg/100g；食品安全指标符合《食品安全国家标准-粮食》（GB2715-2016）有关规定，不符合质量指标的粮食委托方有权拒收。</w:t>
      </w:r>
    </w:p>
    <w:p w14:paraId="56930755">
      <w:pPr>
        <w:adjustRightInd w:val="0"/>
        <w:snapToGrid w:val="0"/>
        <w:spacing w:line="560" w:lineRule="exact"/>
        <w:ind w:firstLine="600" w:firstLineChars="200"/>
        <w:rPr>
          <w:rFonts w:hint="eastAsia" w:ascii="仿宋_GB2312" w:eastAsia="仿宋_GB2312"/>
          <w:sz w:val="30"/>
          <w:szCs w:val="30"/>
          <w:lang w:val="en-US" w:eastAsia="zh-CN"/>
        </w:rPr>
      </w:pPr>
      <w:r>
        <w:rPr>
          <w:rFonts w:hint="eastAsia" w:ascii="仿宋_GB2312" w:eastAsia="仿宋_GB2312"/>
          <w:sz w:val="30"/>
          <w:szCs w:val="30"/>
          <w:lang w:val="en-US" w:eastAsia="zh-CN"/>
        </w:rPr>
        <w:t>成交后双方须签订线下《购销统一合同书》,有意向参加本次交易的会员应首先向委托方了解并同意线下《购销统一合同书》内容后再参加本次交易，否则视同认可协议内容。</w:t>
      </w:r>
    </w:p>
    <w:p w14:paraId="275D6BD3">
      <w:pPr>
        <w:adjustRightInd w:val="0"/>
        <w:snapToGrid w:val="0"/>
        <w:spacing w:line="560" w:lineRule="exact"/>
        <w:ind w:firstLine="600" w:firstLineChars="200"/>
        <w:rPr>
          <w:rFonts w:hint="eastAsia" w:ascii="仿宋_GB2312" w:eastAsia="仿宋_GB2312"/>
          <w:sz w:val="30"/>
          <w:szCs w:val="30"/>
          <w:lang w:val="en-US" w:eastAsia="zh-CN"/>
        </w:rPr>
      </w:pPr>
      <w:r>
        <w:rPr>
          <w:rFonts w:hint="eastAsia" w:ascii="仿宋_GB2312" w:eastAsia="仿宋_GB2312"/>
          <w:sz w:val="30"/>
          <w:szCs w:val="30"/>
          <w:lang w:val="en-US" w:eastAsia="zh-CN"/>
        </w:rPr>
        <w:t>本次交易按照“购销统一、锁定采购价、竞价销售价”的方式进行，参与竞价的新粮轮入供货方和陈粮轮出购买方必须是同一家企业，轮入采购和轮出销售交易同步进行。锁定采购标的价格（锁定采购价为：2900元/吨），对销售标的进行竞价，售价高者中标。</w:t>
      </w:r>
    </w:p>
    <w:p w14:paraId="6F811E11">
      <w:pPr>
        <w:adjustRightInd w:val="0"/>
        <w:snapToGrid w:val="0"/>
        <w:spacing w:line="560" w:lineRule="exact"/>
        <w:ind w:firstLine="600" w:firstLineChars="200"/>
        <w:rPr>
          <w:rFonts w:hint="eastAsia" w:ascii="仿宋_GB2312" w:eastAsia="仿宋_GB2312"/>
          <w:sz w:val="30"/>
          <w:szCs w:val="30"/>
          <w:lang w:val="en-US" w:eastAsia="zh-CN"/>
        </w:rPr>
      </w:pPr>
      <w:r>
        <w:rPr>
          <w:rFonts w:hint="eastAsia" w:ascii="仿宋_GB2312" w:eastAsia="仿宋_GB2312"/>
          <w:sz w:val="30"/>
          <w:szCs w:val="30"/>
          <w:lang w:val="en-US" w:eastAsia="zh-CN"/>
        </w:rPr>
        <w:t>采购标的报价为买方仓口价，销售标的报价为卖方仓口价，均为仓口汽车板交货。</w:t>
      </w:r>
    </w:p>
    <w:p w14:paraId="0232B208">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第十六条 </w:t>
      </w:r>
      <w:r>
        <w:rPr>
          <w:rFonts w:hint="eastAsia" w:ascii="仿宋_GB2312" w:eastAsia="仿宋_GB2312"/>
          <w:sz w:val="30"/>
          <w:szCs w:val="30"/>
          <w:lang w:val="en-US" w:eastAsia="zh-CN"/>
        </w:rPr>
        <w:t xml:space="preserve"> 本次交易活动，采取现场及网上计算机竞价的方式进行。竞价交易按委托标的序号顺序，依次按交易节进行。</w:t>
      </w:r>
    </w:p>
    <w:p w14:paraId="44781E83">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第十七条</w:t>
      </w:r>
      <w:r>
        <w:rPr>
          <w:rFonts w:hint="eastAsia" w:ascii="仿宋_GB2312" w:eastAsia="仿宋_GB2312"/>
          <w:sz w:val="30"/>
          <w:szCs w:val="30"/>
          <w:lang w:val="en-US" w:eastAsia="zh-CN"/>
        </w:rPr>
        <w:t xml:space="preserve"> 开市后，竞买人利用计算机按交易节逐节进行交易。每笔交易从标底价开始报价，并按每吨5元的价位递增报价。</w:t>
      </w:r>
    </w:p>
    <w:p w14:paraId="1A2384B7">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第十八条 </w:t>
      </w:r>
      <w:r>
        <w:rPr>
          <w:rFonts w:hint="eastAsia" w:ascii="仿宋_GB2312" w:eastAsia="仿宋_GB2312"/>
          <w:sz w:val="30"/>
          <w:szCs w:val="30"/>
          <w:lang w:val="en-US" w:eastAsia="zh-CN"/>
        </w:rPr>
        <w:t xml:space="preserve"> 在标底价位上无人应价时，即撤销该笔交易。</w:t>
      </w:r>
    </w:p>
    <w:p w14:paraId="2517266D">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第十九条  </w:t>
      </w:r>
      <w:r>
        <w:rPr>
          <w:rFonts w:hint="eastAsia" w:ascii="仿宋_GB2312" w:eastAsia="仿宋_GB2312"/>
          <w:sz w:val="30"/>
          <w:szCs w:val="30"/>
          <w:lang w:val="en-US" w:eastAsia="zh-CN"/>
        </w:rPr>
        <w:t>竞买人应点击计算机报价，竞价数量已超过预交保证金所能购买数量的不可再参加竞价。</w:t>
      </w:r>
    </w:p>
    <w:p w14:paraId="5B3C79A4">
      <w:pPr>
        <w:adjustRightInd w:val="0"/>
        <w:snapToGrid w:val="0"/>
        <w:spacing w:line="560" w:lineRule="exact"/>
        <w:ind w:firstLine="602" w:firstLineChars="200"/>
        <w:rPr>
          <w:rFonts w:hint="eastAsia" w:ascii="仿宋_GB2312" w:eastAsia="仿宋_GB2312"/>
          <w:sz w:val="30"/>
          <w:szCs w:val="30"/>
          <w:lang w:val="zh-CN" w:eastAsia="zh-CN"/>
        </w:rPr>
      </w:pPr>
      <w:r>
        <w:rPr>
          <w:rFonts w:hint="eastAsia" w:ascii="仿宋_GB2312" w:eastAsia="仿宋_GB2312"/>
          <w:b/>
          <w:bCs/>
          <w:sz w:val="30"/>
          <w:szCs w:val="30"/>
          <w:lang w:val="en-US" w:eastAsia="zh-CN"/>
        </w:rPr>
        <w:t xml:space="preserve">第二十条  </w:t>
      </w:r>
      <w:r>
        <w:rPr>
          <w:rFonts w:hint="eastAsia" w:ascii="仿宋_GB2312" w:eastAsia="仿宋_GB2312"/>
          <w:sz w:val="30"/>
          <w:szCs w:val="30"/>
          <w:lang w:val="en-US" w:eastAsia="zh-CN"/>
        </w:rPr>
        <w:t>竞买人一经应价，不得撤回。</w:t>
      </w:r>
    </w:p>
    <w:p w14:paraId="51EAD58F">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第二十一条  </w:t>
      </w:r>
      <w:r>
        <w:rPr>
          <w:rFonts w:hint="eastAsia" w:ascii="仿宋_GB2312" w:eastAsia="仿宋_GB2312"/>
          <w:sz w:val="30"/>
          <w:szCs w:val="30"/>
          <w:lang w:val="en-US" w:eastAsia="zh-CN"/>
        </w:rPr>
        <w:t>竞买人在新价位应价并被系统确认后，前一价位的应价自动失效。竞买人报价后，在规定的时间内如无其它竞买人以更高的价格报价，则以该报价为标的的成交价，该竞买人为标的的中标方。</w:t>
      </w:r>
    </w:p>
    <w:p w14:paraId="1CFC44D3">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第二十二条</w:t>
      </w:r>
      <w:r>
        <w:rPr>
          <w:rFonts w:hint="eastAsia" w:ascii="仿宋_GB2312" w:eastAsia="仿宋_GB2312"/>
          <w:sz w:val="30"/>
          <w:szCs w:val="30"/>
          <w:lang w:val="en-US" w:eastAsia="zh-CN"/>
        </w:rPr>
        <w:t xml:space="preserve">  本次交易结束后三日内，中标方需及时与委托方签订线下《购销统一合同书》，三日内不签订线下合同按违约处理。</w:t>
      </w:r>
    </w:p>
    <w:p w14:paraId="57033386">
      <w:pPr>
        <w:adjustRightInd w:val="0"/>
        <w:snapToGrid w:val="0"/>
        <w:spacing w:line="560" w:lineRule="exact"/>
        <w:ind w:firstLine="602" w:firstLineChars="200"/>
        <w:jc w:val="center"/>
        <w:rPr>
          <w:rFonts w:hint="eastAsia" w:ascii="仿宋_GB2312" w:eastAsia="仿宋_GB2312"/>
          <w:b/>
          <w:bCs/>
          <w:sz w:val="30"/>
          <w:szCs w:val="30"/>
          <w:lang w:val="en-US" w:eastAsia="zh-CN"/>
        </w:rPr>
      </w:pPr>
      <w:r>
        <w:rPr>
          <w:rFonts w:hint="eastAsia" w:ascii="仿宋_GB2312" w:eastAsia="仿宋_GB2312"/>
          <w:b/>
          <w:bCs/>
          <w:sz w:val="30"/>
          <w:szCs w:val="30"/>
          <w:lang w:val="en-US" w:eastAsia="zh-CN"/>
        </w:rPr>
        <w:t>第六章 交割和结算</w:t>
      </w:r>
    </w:p>
    <w:p w14:paraId="43C7589B">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第二十三条 </w:t>
      </w:r>
      <w:r>
        <w:rPr>
          <w:rFonts w:hint="eastAsia" w:ascii="仿宋_GB2312" w:eastAsia="仿宋_GB2312"/>
          <w:sz w:val="30"/>
          <w:szCs w:val="30"/>
          <w:lang w:val="en-US" w:eastAsia="zh-CN"/>
        </w:rPr>
        <w:t>交易双方应严格履行合同规定的责任义务，并享受合同规定的权利。</w:t>
      </w:r>
    </w:p>
    <w:p w14:paraId="2A3E4DBA">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第二十四条</w:t>
      </w:r>
      <w:r>
        <w:rPr>
          <w:rFonts w:hint="eastAsia" w:ascii="仿宋_GB2312" w:eastAsia="仿宋_GB2312"/>
          <w:sz w:val="30"/>
          <w:szCs w:val="30"/>
          <w:lang w:val="en-US" w:eastAsia="zh-CN"/>
        </w:rPr>
        <w:t xml:space="preserve"> 采购合同履约时间为自交易合同生效之日起至2025年12月30日，销售合同履约时间为2026年4月15日至2026年6月30日，本批长粒籼糯稻的履约时间（采购、销售）按《购销统一合同书》约定日期执行。</w:t>
      </w:r>
    </w:p>
    <w:p w14:paraId="5C289D2C">
      <w:pPr>
        <w:adjustRightInd w:val="0"/>
        <w:snapToGrid w:val="0"/>
        <w:spacing w:line="560" w:lineRule="exact"/>
        <w:ind w:firstLine="602" w:firstLineChars="200"/>
        <w:rPr>
          <w:rFonts w:hint="eastAsia" w:ascii="仿宋_GB2312" w:eastAsia="仿宋_GB2312"/>
          <w:sz w:val="30"/>
          <w:szCs w:val="30"/>
          <w:lang w:val="en-US" w:eastAsia="zh-CN"/>
        </w:rPr>
      </w:pPr>
      <w:bookmarkStart w:id="0" w:name="_GoBack"/>
      <w:bookmarkEnd w:id="0"/>
      <w:r>
        <w:rPr>
          <w:rFonts w:hint="eastAsia" w:ascii="仿宋_GB2312" w:eastAsia="仿宋_GB2312"/>
          <w:b/>
          <w:bCs/>
          <w:sz w:val="30"/>
          <w:szCs w:val="30"/>
          <w:lang w:val="en-US" w:eastAsia="zh-CN"/>
        </w:rPr>
        <w:t xml:space="preserve">第二十五条 </w:t>
      </w:r>
      <w:r>
        <w:rPr>
          <w:rFonts w:hint="eastAsia" w:ascii="仿宋_GB2312" w:eastAsia="仿宋_GB2312"/>
          <w:sz w:val="30"/>
          <w:szCs w:val="30"/>
          <w:lang w:val="en-US" w:eastAsia="zh-CN"/>
        </w:rPr>
        <w:t>成交签订合同后，交易双方应及时协商出入库事宜。承储库点应积极配合，共同完成交割工作。</w:t>
      </w:r>
    </w:p>
    <w:p w14:paraId="1C4F4E5E">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第二十六条</w:t>
      </w:r>
      <w:r>
        <w:rPr>
          <w:rFonts w:hint="eastAsia" w:ascii="仿宋_GB2312" w:eastAsia="仿宋_GB2312"/>
          <w:sz w:val="30"/>
          <w:szCs w:val="30"/>
          <w:lang w:val="en-US" w:eastAsia="zh-CN"/>
        </w:rPr>
        <w:t xml:space="preserve"> 稻谷出入库时交易双方共同进行检斤验质。销售标的质量以清单公示为准；数量以承储库点计量衡器为准，承储库计量衡器必须是经具有国家认可资质的技术监督部门鉴定合格的，且在鉴定的有效期内。</w:t>
      </w:r>
    </w:p>
    <w:p w14:paraId="500E6168">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第二十七条 </w:t>
      </w:r>
      <w:r>
        <w:rPr>
          <w:rFonts w:hint="eastAsia" w:ascii="仿宋_GB2312" w:eastAsia="仿宋_GB2312"/>
          <w:sz w:val="30"/>
          <w:szCs w:val="30"/>
          <w:lang w:val="en-US" w:eastAsia="zh-CN"/>
        </w:rPr>
        <w:t xml:space="preserve"> 本次交易销售、采购款均双方自行结算，且双方互相提供发票。</w:t>
      </w:r>
    </w:p>
    <w:p w14:paraId="40183FFA">
      <w:pPr>
        <w:adjustRightInd w:val="0"/>
        <w:snapToGrid w:val="0"/>
        <w:spacing w:line="560" w:lineRule="exact"/>
        <w:ind w:firstLine="600" w:firstLineChars="200"/>
        <w:rPr>
          <w:rFonts w:hint="eastAsia" w:ascii="仿宋_GB2312" w:eastAsia="仿宋_GB2312"/>
          <w:sz w:val="30"/>
          <w:szCs w:val="30"/>
          <w:lang w:val="en-US" w:eastAsia="zh-CN"/>
        </w:rPr>
      </w:pPr>
      <w:r>
        <w:rPr>
          <w:rFonts w:hint="eastAsia" w:ascii="仿宋_GB2312" w:eastAsia="仿宋_GB2312"/>
          <w:sz w:val="30"/>
          <w:szCs w:val="30"/>
          <w:lang w:val="en-US" w:eastAsia="zh-CN"/>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根据买卖双方签署的《验收确认单》，扣除手续费及未履约部分的保证金后向拨付相应的货款，该批货物交割完毕。</w:t>
      </w:r>
    </w:p>
    <w:p w14:paraId="22D37D67">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第二十八条</w:t>
      </w:r>
      <w:r>
        <w:rPr>
          <w:rFonts w:hint="eastAsia" w:ascii="仿宋_GB2312" w:eastAsia="仿宋_GB2312"/>
          <w:sz w:val="30"/>
          <w:szCs w:val="30"/>
          <w:lang w:val="en-US" w:eastAsia="zh-CN"/>
        </w:rPr>
        <w:t xml:space="preserve"> 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第二十九条</w:t>
      </w:r>
      <w:r>
        <w:rPr>
          <w:rFonts w:hint="eastAsia" w:ascii="仿宋_GB2312" w:eastAsia="仿宋_GB2312"/>
          <w:sz w:val="30"/>
          <w:szCs w:val="30"/>
          <w:lang w:val="en-US" w:eastAsia="zh-CN"/>
        </w:rPr>
        <w:t xml:space="preserve"> 安徽省粮食和物资储备保障中心（国家粮食安徽交易中心）向中标方按销售标的成交金额的0.8‰收取手续费，交易手续费从客户保证金中扣除。</w:t>
      </w:r>
    </w:p>
    <w:p w14:paraId="22107893">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第三十条</w:t>
      </w:r>
      <w:r>
        <w:rPr>
          <w:rFonts w:hint="eastAsia" w:ascii="仿宋_GB2312" w:eastAsia="仿宋_GB2312"/>
          <w:sz w:val="30"/>
          <w:szCs w:val="30"/>
          <w:lang w:val="en-US" w:eastAsia="zh-CN"/>
        </w:rPr>
        <w:t xml:space="preserve"> 销售合同中标方预交的履约保证金，在成交后可转作货款，采购合同中标方预交的履约保证金，在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3882FCD5">
      <w:pPr>
        <w:adjustRightInd w:val="0"/>
        <w:snapToGrid w:val="0"/>
        <w:spacing w:line="560" w:lineRule="exact"/>
        <w:ind w:firstLine="602" w:firstLineChars="200"/>
        <w:jc w:val="center"/>
        <w:rPr>
          <w:rFonts w:hint="eastAsia" w:ascii="仿宋_GB2312" w:eastAsia="仿宋_GB2312"/>
          <w:b/>
          <w:bCs/>
          <w:sz w:val="30"/>
          <w:szCs w:val="30"/>
          <w:lang w:val="en-US" w:eastAsia="zh-CN"/>
        </w:rPr>
      </w:pPr>
      <w:r>
        <w:rPr>
          <w:rFonts w:hint="eastAsia" w:ascii="仿宋_GB2312" w:eastAsia="仿宋_GB2312"/>
          <w:b/>
          <w:bCs/>
          <w:sz w:val="30"/>
          <w:szCs w:val="30"/>
          <w:lang w:val="en-US" w:eastAsia="zh-CN"/>
        </w:rPr>
        <w:t>第七章 违约处罚</w:t>
      </w:r>
    </w:p>
    <w:p w14:paraId="70022EFF">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第三十一条  </w:t>
      </w:r>
      <w:r>
        <w:rPr>
          <w:rFonts w:hint="eastAsia" w:ascii="仿宋_GB2312" w:eastAsia="仿宋_GB2312"/>
          <w:sz w:val="30"/>
          <w:szCs w:val="30"/>
          <w:lang w:val="en-US" w:eastAsia="zh-CN"/>
        </w:rPr>
        <w:t>中标方没有在规定的时间内签订线下合同，视为采购合同和销售合同均违约，中标方</w:t>
      </w:r>
      <w:r>
        <w:rPr>
          <w:rFonts w:hint="eastAsia" w:ascii="仿宋_GB2312" w:eastAsia="仿宋_GB2312"/>
          <w:sz w:val="30"/>
          <w:szCs w:val="30"/>
          <w:lang w:val="zh-CN" w:eastAsia="zh-CN"/>
        </w:rPr>
        <w:t>不能在规定的期限内</w:t>
      </w:r>
      <w:r>
        <w:rPr>
          <w:rFonts w:hint="eastAsia" w:ascii="仿宋_GB2312" w:eastAsia="仿宋_GB2312"/>
          <w:sz w:val="30"/>
          <w:szCs w:val="30"/>
          <w:lang w:val="en-US" w:eastAsia="zh-CN"/>
        </w:rPr>
        <w:t>完成出入库视为中标方违约，由安徽省粮食和物资储备保障中心（国家粮食安徽交易中心）按本细则第五条所列标准，从所交纳的保证金或货款中扣除相应的履约保证金和交易保证金，分别支付给委托方和安徽省粮食和物资储备保障中心（国家粮食安徽交易中心）。</w:t>
      </w:r>
    </w:p>
    <w:p w14:paraId="6C689FA7">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第三十二条</w:t>
      </w:r>
      <w:r>
        <w:rPr>
          <w:rFonts w:hint="eastAsia" w:ascii="仿宋_GB2312" w:eastAsia="仿宋_GB2312"/>
          <w:sz w:val="30"/>
          <w:szCs w:val="30"/>
          <w:lang w:val="en-US" w:eastAsia="zh-CN"/>
        </w:rPr>
        <w:t xml:space="preserve"> 库方未能在规定的时间内积极配合，由中标企业以书面形式报安徽省粮食和物资储备保障中心（国家粮食安徽交易中心）申请协调，经协调仍不能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w:t>
      </w:r>
    </w:p>
    <w:p w14:paraId="74A0277D">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第三十三条</w:t>
      </w:r>
      <w:r>
        <w:rPr>
          <w:rFonts w:hint="eastAsia" w:ascii="仿宋_GB2312" w:eastAsia="仿宋_GB2312"/>
          <w:sz w:val="30"/>
          <w:szCs w:val="30"/>
          <w:lang w:val="en-US" w:eastAsia="zh-CN"/>
        </w:rPr>
        <w:t xml:space="preserve"> 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第三十四条</w:t>
      </w:r>
      <w:r>
        <w:rPr>
          <w:rFonts w:hint="eastAsia" w:ascii="仿宋_GB2312" w:eastAsia="仿宋_GB2312"/>
          <w:sz w:val="30"/>
          <w:szCs w:val="30"/>
          <w:lang w:val="en-US" w:eastAsia="zh-CN"/>
        </w:rPr>
        <w:t xml:space="preserve"> 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ind w:firstLine="602" w:firstLineChars="200"/>
        <w:jc w:val="center"/>
        <w:rPr>
          <w:rFonts w:hint="eastAsia" w:ascii="仿宋_GB2312" w:eastAsia="仿宋_GB2312"/>
          <w:b/>
          <w:bCs/>
          <w:sz w:val="30"/>
          <w:szCs w:val="30"/>
          <w:lang w:val="en-US" w:eastAsia="zh-CN"/>
        </w:rPr>
      </w:pPr>
      <w:r>
        <w:rPr>
          <w:rFonts w:hint="eastAsia" w:ascii="仿宋_GB2312" w:eastAsia="仿宋_GB2312"/>
          <w:b/>
          <w:bCs/>
          <w:sz w:val="30"/>
          <w:szCs w:val="30"/>
          <w:lang w:val="en-US" w:eastAsia="zh-CN"/>
        </w:rPr>
        <w:t>第八章 附 则</w:t>
      </w:r>
    </w:p>
    <w:p w14:paraId="4BDE3249">
      <w:pPr>
        <w:adjustRightInd w:val="0"/>
        <w:snapToGrid w:val="0"/>
        <w:spacing w:line="560" w:lineRule="exact"/>
        <w:ind w:firstLine="602" w:firstLineChars="200"/>
        <w:rPr>
          <w:rFonts w:hint="eastAsia" w:ascii="仿宋_GB2312" w:eastAsia="仿宋_GB2312"/>
          <w:sz w:val="30"/>
          <w:szCs w:val="30"/>
          <w:lang w:val="zh-CN" w:eastAsia="zh-CN"/>
        </w:rPr>
      </w:pPr>
      <w:r>
        <w:rPr>
          <w:rFonts w:hint="eastAsia" w:ascii="仿宋_GB2312" w:eastAsia="仿宋_GB2312"/>
          <w:b/>
          <w:bCs/>
          <w:sz w:val="30"/>
          <w:szCs w:val="30"/>
          <w:lang w:val="en-US" w:eastAsia="zh-CN"/>
        </w:rPr>
        <w:t>第三十五条</w:t>
      </w:r>
      <w:r>
        <w:rPr>
          <w:rFonts w:hint="eastAsia" w:ascii="仿宋_GB2312" w:eastAsia="仿宋_GB2312"/>
          <w:sz w:val="30"/>
          <w:szCs w:val="30"/>
          <w:lang w:val="en-US" w:eastAsia="zh-CN"/>
        </w:rPr>
        <w:t xml:space="preserve">  </w:t>
      </w:r>
      <w:r>
        <w:rPr>
          <w:rFonts w:hint="eastAsia" w:ascii="仿宋_GB2312" w:eastAsia="仿宋_GB2312"/>
          <w:sz w:val="30"/>
          <w:szCs w:val="30"/>
          <w:lang w:val="zh-CN" w:eastAsia="zh-CN"/>
        </w:rPr>
        <w:t>安徽省粮食和物资储备保障中心（国家粮食安徽交易中心）负责监督合同的执行，协调处理商务等问题。如遇未尽事宜，由安徽省粮食和物资储备保障中心（国家粮食安徽交易中心）与有关部门协商处理。</w:t>
      </w:r>
    </w:p>
    <w:p w14:paraId="7FC5440F">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bCs/>
          <w:sz w:val="30"/>
          <w:szCs w:val="30"/>
          <w:lang w:val="en-US" w:eastAsia="zh-CN"/>
        </w:rPr>
        <w:t xml:space="preserve">第三十六条 </w:t>
      </w:r>
      <w:r>
        <w:rPr>
          <w:rFonts w:hint="eastAsia" w:ascii="仿宋_GB2312" w:eastAsia="仿宋_GB2312"/>
          <w:sz w:val="30"/>
          <w:szCs w:val="30"/>
          <w:lang w:val="en-US" w:eastAsia="zh-CN"/>
        </w:rPr>
        <w:t>本交易细则由安徽省粮食和物资储备保障中心（国家粮食安徽交易中心）负责解释。</w:t>
      </w:r>
    </w:p>
    <w:p w14:paraId="74E350F5">
      <w:pPr>
        <w:adjustRightInd w:val="0"/>
        <w:snapToGrid w:val="0"/>
        <w:spacing w:line="560" w:lineRule="exact"/>
        <w:ind w:firstLine="600" w:firstLineChars="200"/>
        <w:rPr>
          <w:rFonts w:hint="eastAsia" w:ascii="仿宋_GB2312" w:eastAsia="仿宋_GB2312"/>
          <w:sz w:val="30"/>
          <w:szCs w:val="30"/>
          <w:lang w:val="en-US" w:eastAsia="zh-CN"/>
        </w:rPr>
      </w:pPr>
    </w:p>
    <w:p w14:paraId="23F11CD6">
      <w:pPr>
        <w:adjustRightInd w:val="0"/>
        <w:snapToGrid w:val="0"/>
        <w:spacing w:line="560" w:lineRule="exact"/>
        <w:rPr>
          <w:rFonts w:hint="eastAsia" w:ascii="仿宋_GB2312" w:eastAsia="仿宋_GB2312"/>
          <w:sz w:val="30"/>
          <w:szCs w:val="30"/>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92509"/>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50CCC"/>
    <w:rsid w:val="00787663"/>
    <w:rsid w:val="007C396A"/>
    <w:rsid w:val="007D1210"/>
    <w:rsid w:val="00847D43"/>
    <w:rsid w:val="008A7B89"/>
    <w:rsid w:val="008B09EA"/>
    <w:rsid w:val="00900C4D"/>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D9415D"/>
    <w:rsid w:val="02206A51"/>
    <w:rsid w:val="03420C28"/>
    <w:rsid w:val="03B44E81"/>
    <w:rsid w:val="05B80C59"/>
    <w:rsid w:val="05FF4EDB"/>
    <w:rsid w:val="09D516AE"/>
    <w:rsid w:val="0DCB34F3"/>
    <w:rsid w:val="0E177C44"/>
    <w:rsid w:val="0E9C09EC"/>
    <w:rsid w:val="0EC75A69"/>
    <w:rsid w:val="0FE73EE9"/>
    <w:rsid w:val="0FF12938"/>
    <w:rsid w:val="11AE5B1B"/>
    <w:rsid w:val="12AA7B7B"/>
    <w:rsid w:val="137B5074"/>
    <w:rsid w:val="14860174"/>
    <w:rsid w:val="16762C77"/>
    <w:rsid w:val="172F4AF3"/>
    <w:rsid w:val="176127D3"/>
    <w:rsid w:val="19A31EA5"/>
    <w:rsid w:val="1C1030E8"/>
    <w:rsid w:val="1CC42F56"/>
    <w:rsid w:val="1CD92825"/>
    <w:rsid w:val="220D77DF"/>
    <w:rsid w:val="22B3439B"/>
    <w:rsid w:val="234C3BA2"/>
    <w:rsid w:val="247D55BF"/>
    <w:rsid w:val="266D07DD"/>
    <w:rsid w:val="26EA218A"/>
    <w:rsid w:val="274C0DA9"/>
    <w:rsid w:val="29143B49"/>
    <w:rsid w:val="2B5976E6"/>
    <w:rsid w:val="2C520C10"/>
    <w:rsid w:val="2E41707B"/>
    <w:rsid w:val="2E8B665B"/>
    <w:rsid w:val="333A0650"/>
    <w:rsid w:val="34A55F9D"/>
    <w:rsid w:val="356847E1"/>
    <w:rsid w:val="367B42B2"/>
    <w:rsid w:val="38DE382B"/>
    <w:rsid w:val="3BB30F9F"/>
    <w:rsid w:val="3CF72F7C"/>
    <w:rsid w:val="3D9A0490"/>
    <w:rsid w:val="3F8C5D8F"/>
    <w:rsid w:val="40F40039"/>
    <w:rsid w:val="41DA41DC"/>
    <w:rsid w:val="429C453B"/>
    <w:rsid w:val="44347D17"/>
    <w:rsid w:val="463C0B89"/>
    <w:rsid w:val="46503FBA"/>
    <w:rsid w:val="465F61FC"/>
    <w:rsid w:val="467F10BA"/>
    <w:rsid w:val="472944A5"/>
    <w:rsid w:val="4812704D"/>
    <w:rsid w:val="49034F94"/>
    <w:rsid w:val="49777AB0"/>
    <w:rsid w:val="4AF64A04"/>
    <w:rsid w:val="4DC9681C"/>
    <w:rsid w:val="51C03304"/>
    <w:rsid w:val="51C531EB"/>
    <w:rsid w:val="52D753D2"/>
    <w:rsid w:val="54596730"/>
    <w:rsid w:val="580947A8"/>
    <w:rsid w:val="5AC468CD"/>
    <w:rsid w:val="5B005214"/>
    <w:rsid w:val="5B9242D5"/>
    <w:rsid w:val="5C683F13"/>
    <w:rsid w:val="5CE648D9"/>
    <w:rsid w:val="5EA720B6"/>
    <w:rsid w:val="5F561788"/>
    <w:rsid w:val="5F9A70E8"/>
    <w:rsid w:val="623F6839"/>
    <w:rsid w:val="630B32EB"/>
    <w:rsid w:val="634D7265"/>
    <w:rsid w:val="63514A76"/>
    <w:rsid w:val="63E678B4"/>
    <w:rsid w:val="64A24868"/>
    <w:rsid w:val="6A7E48E6"/>
    <w:rsid w:val="6A942C34"/>
    <w:rsid w:val="6ACA3A8C"/>
    <w:rsid w:val="6CA87DFD"/>
    <w:rsid w:val="724F4877"/>
    <w:rsid w:val="72693B8A"/>
    <w:rsid w:val="75894543"/>
    <w:rsid w:val="75B25848"/>
    <w:rsid w:val="774E5745"/>
    <w:rsid w:val="78D9133E"/>
    <w:rsid w:val="791C1D5C"/>
    <w:rsid w:val="7A692DEB"/>
    <w:rsid w:val="7A8D64C2"/>
    <w:rsid w:val="7D5A5B2C"/>
    <w:rsid w:val="7DD345AE"/>
    <w:rsid w:val="7EC16AFC"/>
    <w:rsid w:val="7EDB7B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3687</Words>
  <Characters>3828</Characters>
  <Lines>28</Lines>
  <Paragraphs>8</Paragraphs>
  <TotalTime>3</TotalTime>
  <ScaleCrop>false</ScaleCrop>
  <LinksUpToDate>false</LinksUpToDate>
  <CharactersWithSpaces>3910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2025-10-11T07:20:06Z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