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AA1C06">
      <w:pPr>
        <w:keepNext w:val="0"/>
        <w:keepLines w:val="0"/>
        <w:pageBreakBefore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exact"/>
        <w:ind w:right="480" w:rightChars="200"/>
        <w:jc w:val="center"/>
        <w:textAlignment w:val="auto"/>
        <w:rPr>
          <w:rFonts w:hint="eastAsia" w:asciiTheme="majorEastAsia" w:hAnsiTheme="majorEastAsia" w:eastAsiaTheme="majorEastAsia" w:cstheme="majorEastAsia"/>
          <w:b/>
          <w:color w:val="auto"/>
          <w:sz w:val="32"/>
          <w:szCs w:val="32"/>
          <w:lang w:val="en-US" w:eastAsia="zh-CN"/>
        </w:rPr>
      </w:pPr>
    </w:p>
    <w:p w14:paraId="06507AE4">
      <w:pPr>
        <w:keepNext w:val="0"/>
        <w:keepLines w:val="0"/>
        <w:pageBreakBefore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exact"/>
        <w:ind w:right="480" w:rightChars="200"/>
        <w:jc w:val="center"/>
        <w:textAlignment w:val="auto"/>
        <w:rPr>
          <w:rFonts w:hint="default" w:asciiTheme="majorEastAsia" w:hAnsiTheme="majorEastAsia" w:eastAsiaTheme="majorEastAsia" w:cstheme="majorEastAsia"/>
          <w:b/>
          <w:color w:val="auto"/>
          <w:sz w:val="32"/>
          <w:szCs w:val="3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color w:val="auto"/>
          <w:sz w:val="36"/>
          <w:szCs w:val="36"/>
          <w:lang w:val="en-US" w:eastAsia="zh-CN"/>
        </w:rPr>
        <w:t>购销统一合同书</w:t>
      </w:r>
    </w:p>
    <w:p w14:paraId="51916E00">
      <w:pPr>
        <w:keepNext w:val="0"/>
        <w:keepLines w:val="0"/>
        <w:pageBreakBefore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exact"/>
        <w:ind w:right="480" w:rightChars="200"/>
        <w:jc w:val="center"/>
        <w:textAlignment w:val="auto"/>
        <w:rPr>
          <w:rStyle w:val="6"/>
          <w:rFonts w:hint="eastAsia" w:ascii="仿宋" w:hAnsi="仿宋" w:eastAsia="仿宋" w:cs="仿宋"/>
          <w:b w:val="0"/>
          <w:bCs w:val="0"/>
          <w:color w:val="auto"/>
          <w:sz w:val="28"/>
          <w:szCs w:val="28"/>
        </w:rPr>
      </w:pPr>
      <w:r>
        <w:rPr>
          <w:rStyle w:val="6"/>
          <w:rFonts w:hint="eastAsia" w:asciiTheme="minorEastAsia" w:hAnsiTheme="minorEastAsia" w:eastAsiaTheme="minorEastAsia" w:cstheme="minorEastAsia"/>
          <w:b w:val="0"/>
          <w:bCs w:val="0"/>
          <w:color w:val="auto"/>
          <w:sz w:val="28"/>
          <w:szCs w:val="28"/>
          <w:lang w:val="en-US" w:eastAsia="zh-CN"/>
        </w:rPr>
        <w:t xml:space="preserve">                              </w:t>
      </w:r>
      <w:r>
        <w:rPr>
          <w:rStyle w:val="6"/>
          <w:rFonts w:hint="eastAsia" w:ascii="仿宋" w:hAnsi="仿宋" w:eastAsia="仿宋" w:cs="仿宋"/>
          <w:b w:val="0"/>
          <w:bCs w:val="0"/>
          <w:color w:val="auto"/>
          <w:sz w:val="28"/>
          <w:szCs w:val="28"/>
        </w:rPr>
        <w:t>合同编号：</w:t>
      </w:r>
    </w:p>
    <w:p w14:paraId="323F3F37">
      <w:pPr>
        <w:keepNext w:val="0"/>
        <w:keepLines w:val="0"/>
        <w:pageBreakBefore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360" w:lineRule="exact"/>
        <w:ind w:right="480" w:rightChars="200"/>
        <w:jc w:val="center"/>
        <w:textAlignment w:val="auto"/>
        <w:rPr>
          <w:rStyle w:val="6"/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/>
        </w:rPr>
      </w:pPr>
    </w:p>
    <w:p w14:paraId="11E5AE7F">
      <w:pPr>
        <w:keepNext w:val="0"/>
        <w:keepLines w:val="0"/>
        <w:pageBreakBefore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/>
        <w:textAlignment w:val="auto"/>
        <w:rPr>
          <w:rFonts w:hint="default" w:ascii="仿宋" w:hAnsi="仿宋" w:eastAsia="仿宋" w:cs="仿宋"/>
          <w:color w:val="auto"/>
          <w:sz w:val="28"/>
          <w:szCs w:val="28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甲方（卖方）：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  <w:lang w:val="en-US" w:eastAsia="zh-CN"/>
        </w:rPr>
        <w:t xml:space="preserve">                         </w:t>
      </w:r>
    </w:p>
    <w:p w14:paraId="74C22A26">
      <w:pPr>
        <w:keepNext w:val="0"/>
        <w:keepLines w:val="0"/>
        <w:pageBreakBefore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乙方（买方）：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  <w:lang w:val="en-US" w:eastAsia="zh-CN"/>
        </w:rPr>
        <w:t xml:space="preserve">东至县粮食购销有限责任公司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</w:t>
      </w:r>
    </w:p>
    <w:p w14:paraId="4DC9D851">
      <w:pPr>
        <w:keepNext w:val="0"/>
        <w:keepLines w:val="0"/>
        <w:pageBreakBefore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乙方委托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 w:bidi="ar-SA"/>
        </w:rPr>
        <w:t>安徽省粮食和物资储备保障中心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，就“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  <w:lang w:val="en-US" w:eastAsia="zh-CN"/>
        </w:rPr>
        <w:t>东至县3000吨糯稻购销统一</w:t>
      </w:r>
      <w:r>
        <w:rPr>
          <w:rFonts w:hint="eastAsia" w:ascii="仿宋" w:hAnsi="仿宋" w:eastAsia="仿宋" w:cs="仿宋"/>
          <w:color w:val="auto"/>
          <w:sz w:val="28"/>
          <w:szCs w:val="28"/>
          <w:u w:val="none"/>
          <w:lang w:eastAsia="zh-CN"/>
        </w:rPr>
        <w:t>”进行公开竞价；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甲方于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年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月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日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8"/>
          <w:szCs w:val="28"/>
          <w:shd w:val="clear" w:color="auto" w:fill="FFFFFF"/>
        </w:rPr>
        <w:t>公开竞得该项目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（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</w:rPr>
        <w:t>竞得通知书：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  <w:t>[            ]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</w:rPr>
        <w:t>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。为进一步明确双方权利和义务，经双方协商，现就合同履行达成一致意见如下： </w:t>
      </w:r>
    </w:p>
    <w:p w14:paraId="65EF324F"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="0" w:beforeAutospacing="0" w:after="0" w:afterAutospacing="0" w:line="500" w:lineRule="exact"/>
        <w:ind w:right="360" w:rightChars="150" w:firstLine="281" w:firstLineChars="100"/>
        <w:textAlignment w:val="auto"/>
        <w:rPr>
          <w:rFonts w:hint="eastAsia" w:ascii="仿宋" w:hAnsi="仿宋" w:eastAsia="仿宋" w:cs="仿宋"/>
          <w:b/>
          <w:color w:val="auto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/>
          <w:color w:val="auto"/>
          <w:kern w:val="0"/>
          <w:sz w:val="28"/>
          <w:szCs w:val="28"/>
          <w:highlight w:val="none"/>
          <w:lang w:val="en-US" w:eastAsia="zh-CN" w:bidi="ar-SA"/>
        </w:rPr>
        <w:t>一、购销统一标的数量、品种、产地、价格和交易额等：</w:t>
      </w:r>
    </w:p>
    <w:p w14:paraId="7AA5417E"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="0" w:beforeAutospacing="0" w:after="0" w:afterAutospacing="0" w:line="500" w:lineRule="exact"/>
        <w:ind w:right="360" w:rightChars="150" w:firstLine="840" w:firstLineChars="30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highlight w:val="none"/>
          <w:lang w:val="en-US" w:eastAsia="zh-CN" w:bidi="ar-SA"/>
        </w:rPr>
        <w:t>（一）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数量：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u w:val="single"/>
          <w:lang w:val="en-US" w:eastAsia="zh-CN"/>
        </w:rPr>
        <w:t>300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u w:val="single"/>
        </w:rPr>
        <w:t>0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u w:val="single"/>
          <w:lang w:val="en-US" w:eastAsia="zh-CN"/>
        </w:rPr>
        <w:t>吨</w:t>
      </w:r>
    </w:p>
    <w:p w14:paraId="256097D0"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="0" w:beforeAutospacing="0" w:after="0" w:afterAutospacing="0" w:line="500" w:lineRule="exact"/>
        <w:ind w:right="360" w:rightChars="150" w:firstLine="840" w:firstLineChars="30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（二）品种：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  <w:lang w:val="en-US" w:eastAsia="zh-CN"/>
        </w:rPr>
        <w:t>长粒型籼糯</w:t>
      </w:r>
      <w:r>
        <w:rPr>
          <w:rFonts w:hint="eastAsia" w:ascii="仿宋" w:hAnsi="仿宋" w:eastAsia="仿宋" w:cs="仿宋"/>
          <w:color w:val="auto"/>
          <w:sz w:val="28"/>
          <w:szCs w:val="28"/>
          <w:u w:val="none"/>
          <w:lang w:val="en-US" w:eastAsia="zh-CN"/>
        </w:rPr>
        <w:t xml:space="preserve"> </w:t>
      </w:r>
    </w:p>
    <w:p w14:paraId="633AE8FB"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="0" w:beforeAutospacing="0" w:after="0" w:afterAutospacing="0" w:line="500" w:lineRule="exact"/>
        <w:ind w:right="360" w:rightChars="150" w:firstLine="840" w:firstLineChars="30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（三）产地：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  <w:lang w:val="en-US" w:eastAsia="zh-CN"/>
        </w:rPr>
        <w:t>东至县</w:t>
      </w:r>
    </w:p>
    <w:p w14:paraId="78FAF8E1"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="0" w:beforeAutospacing="0" w:after="0" w:afterAutospacing="0" w:line="500" w:lineRule="exact"/>
        <w:ind w:right="360" w:rightChars="150" w:firstLine="840" w:firstLineChars="300"/>
        <w:jc w:val="left"/>
        <w:textAlignment w:val="auto"/>
        <w:rPr>
          <w:rFonts w:hint="eastAsia" w:ascii="仿宋" w:hAnsi="仿宋" w:eastAsia="仿宋" w:cs="仿宋"/>
          <w:b w:val="0"/>
          <w:bCs w:val="0"/>
          <w:color w:val="auto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highlight w:val="none"/>
          <w:lang w:val="en-US" w:eastAsia="zh-CN" w:bidi="ar-SA"/>
        </w:rPr>
        <w:t>（四）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28"/>
          <w:szCs w:val="28"/>
          <w:highlight w:val="none"/>
          <w:lang w:val="en-US" w:eastAsia="zh-CN" w:bidi="ar-SA"/>
        </w:rPr>
        <w:t>购进、销售为一个标的，长粒籼糯稻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u w:val="none"/>
          <w:lang w:eastAsia="zh-CN"/>
        </w:rPr>
        <w:t>采购价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u w:val="none"/>
        </w:rPr>
        <w:t>为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u w:val="none"/>
          <w:lang w:val="en-US" w:eastAsia="zh-CN"/>
        </w:rPr>
        <w:t>2900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u w:val="none"/>
        </w:rPr>
        <w:t>元/吨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</w:rPr>
        <w:t>，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eastAsia="zh-CN"/>
        </w:rPr>
        <w:t>货款总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val="en-US" w:eastAsia="zh-CN"/>
        </w:rPr>
        <w:t>计8700000.0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u w:val="none"/>
          <w:lang w:val="en-US" w:eastAsia="zh-CN"/>
        </w:rPr>
        <w:t>0元（大写：捌佰柒拾万元整 ）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eastAsia="zh-CN"/>
        </w:rPr>
        <w:t>；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val="en-US" w:eastAsia="zh-CN"/>
        </w:rPr>
        <w:t>销售价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eastAsia="zh-CN"/>
        </w:rPr>
        <w:t>为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u w:val="single"/>
          <w:lang w:val="en-US" w:eastAsia="zh-CN"/>
        </w:rPr>
        <w:t>2920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val="en-US" w:eastAsia="zh-CN"/>
        </w:rPr>
        <w:t>元/吨；销售货款总额8760000.00元（大写：捌佰柒拾陆万元整）。</w:t>
      </w:r>
    </w:p>
    <w:p w14:paraId="3CE4D5DA"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="0" w:beforeAutospacing="0" w:after="0" w:afterAutospacing="0" w:line="500" w:lineRule="exact"/>
        <w:ind w:right="360" w:rightChars="150" w:firstLine="281" w:firstLineChars="100"/>
        <w:textAlignment w:val="auto"/>
        <w:rPr>
          <w:rFonts w:hint="eastAsia" w:ascii="仿宋" w:hAnsi="仿宋" w:eastAsia="仿宋" w:cs="仿宋"/>
          <w:b/>
          <w:color w:val="auto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/>
          <w:color w:val="auto"/>
          <w:kern w:val="0"/>
          <w:sz w:val="28"/>
          <w:szCs w:val="28"/>
          <w:highlight w:val="none"/>
          <w:lang w:val="en-US" w:eastAsia="zh-CN" w:bidi="ar-SA"/>
        </w:rPr>
        <w:t>二、质量要求</w:t>
      </w:r>
    </w:p>
    <w:p w14:paraId="6385A1B7">
      <w:pPr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（1）原则上按GB1350-2009三等及以上标准执行，其中：出糙率≥75.0%、整精米率≥44.0%、杂质含量≤1.5%、水分含量≤13.5%、黄粒米含量≤0.5%、谷外糙米含量≤2.0%、互混率≤5%，色泽、气味正常；为2025年度种植生产的新粮，无泥谷，基本无虫粮；储存品质均达到宜存指标，其中脂肪酸值(KOH/干基)≤18mg/100g；食品安全指标符合《食品安全国家标准-粮食》（GB2715-2016）有关规定。</w:t>
      </w:r>
    </w:p>
    <w:p w14:paraId="61673A42">
      <w:pPr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（2）乙方采购的糯稻谷属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  <w:t>净粮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，不提供除杂、降水等服务。甲方发运的粮食必须符合竞价公告、细则约定的质量、储存品质和食品安全标准要求，其中食品安全指标须检验合格（重金属：镉、铅、汞和无机砷）。</w:t>
      </w:r>
    </w:p>
    <w:p w14:paraId="257984C5"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="0" w:beforeAutospacing="0" w:after="0" w:afterAutospacing="0" w:line="500" w:lineRule="exact"/>
        <w:ind w:right="360" w:rightChars="150" w:firstLine="281" w:firstLineChars="100"/>
        <w:textAlignment w:val="auto"/>
        <w:rPr>
          <w:rFonts w:hint="eastAsia" w:ascii="仿宋" w:hAnsi="仿宋" w:eastAsia="仿宋" w:cs="仿宋"/>
          <w:b/>
          <w:color w:val="auto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/>
          <w:color w:val="auto"/>
          <w:kern w:val="0"/>
          <w:sz w:val="28"/>
          <w:szCs w:val="28"/>
          <w:highlight w:val="none"/>
          <w:lang w:val="en-US" w:eastAsia="zh-CN" w:bidi="ar-SA"/>
        </w:rPr>
        <w:t>三、购销方式</w:t>
      </w:r>
    </w:p>
    <w:p w14:paraId="4D0AEBC7">
      <w:pPr>
        <w:keepNext w:val="0"/>
        <w:keepLines w:val="0"/>
        <w:pageBreakBefore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right="360" w:rightChars="150" w:firstLine="560" w:firstLineChars="200"/>
        <w:textAlignment w:val="auto"/>
        <w:rPr>
          <w:rFonts w:hint="eastAsia" w:ascii="仿宋" w:hAnsi="仿宋" w:eastAsia="仿宋" w:cs="仿宋"/>
          <w:color w:val="auto"/>
          <w:kern w:val="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1、购进</w:t>
      </w:r>
    </w:p>
    <w:p w14:paraId="1BFF7ABD">
      <w:pPr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spacing w:line="500" w:lineRule="exact"/>
        <w:ind w:left="240" w:leftChars="100" w:right="360" w:rightChars="150"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（1）甲方应在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eastAsia="zh-CN"/>
        </w:rPr>
        <w:t>2025年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  <w:t>10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eastAsia="zh-CN"/>
        </w:rPr>
        <w:t>月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  <w:t>15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eastAsia="zh-CN"/>
        </w:rPr>
        <w:t>日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  <w:t>起至2025年12月30日前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完成购进数量，无合适理由逾期交货的，逾期不超5天，逾期超5天按违约处理。</w:t>
      </w:r>
    </w:p>
    <w:p w14:paraId="5EE91CAC">
      <w:pPr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spacing w:line="500" w:lineRule="exact"/>
        <w:ind w:left="240" w:leftChars="100" w:right="360" w:rightChars="150"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（2）甲方负责组织入库粮源，按采购价进行结算。</w:t>
      </w:r>
    </w:p>
    <w:p w14:paraId="520DA0D6">
      <w:pPr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（3）甲方按要求完成入库，且所入库货物的数量、质量、品质及卫生指标均符合公告细则规定后，须将履约保证金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  <w:lang w:val="en-US" w:eastAsia="zh-CN"/>
        </w:rPr>
        <w:t xml:space="preserve"> 300000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元（标准：实际入库数量*100元/吨；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  <w:t>不计利息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）支付至委托方指定账户；次年出库时，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  <w:t>履约保证金可作为轮出时货款尾款或在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竞得方履约完毕后一次性退还履约保证金。</w:t>
      </w:r>
    </w:p>
    <w:p w14:paraId="00136695">
      <w:pPr>
        <w:keepNext w:val="0"/>
        <w:keepLines w:val="0"/>
        <w:pageBreakBefore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right="360" w:rightChars="150" w:firstLine="560" w:firstLineChars="200"/>
        <w:textAlignment w:val="auto"/>
        <w:rPr>
          <w:rFonts w:hint="eastAsia" w:ascii="仿宋" w:hAnsi="仿宋" w:eastAsia="仿宋" w:cs="仿宋"/>
          <w:color w:val="auto"/>
          <w:kern w:val="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2、销售</w:t>
      </w:r>
    </w:p>
    <w:p w14:paraId="3BBA5C7A">
      <w:pPr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 w:firstLine="560" w:firstLineChars="200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（1）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  <w:t>甲方在6个月到期后包销售，按入库数量包干（数量损耗溢余由甲方自负，仓库双人双锁），价格按本合同进行结算。</w:t>
      </w:r>
    </w:p>
    <w:p w14:paraId="6392EF13">
      <w:pPr>
        <w:keepNext w:val="0"/>
        <w:keepLines w:val="0"/>
        <w:pageBreakBefore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 w:firstLine="560" w:firstLineChars="200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  <w:t xml:space="preserve">（2）先付款后提货，必须在开仓后45天内完成，甲方无合适理由逾期提货的双方协商解决，逾期需按数量另行支付保管费用。 </w:t>
      </w:r>
    </w:p>
    <w:p w14:paraId="629AAF97">
      <w:pPr>
        <w:keepNext w:val="0"/>
        <w:keepLines w:val="0"/>
        <w:pageBreakBefore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right="360" w:rightChars="150" w:firstLine="281" w:firstLineChars="100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</w:rPr>
        <w:t>四、运输要求和费用</w:t>
      </w:r>
    </w:p>
    <w:p w14:paraId="3359AE27">
      <w:pPr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 w:firstLine="560" w:firstLineChars="200"/>
        <w:textAlignment w:val="auto"/>
        <w:rPr>
          <w:rFonts w:hint="default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1、要求散粮运输。粮食仓储服务费50元/吨由甲方与存储单位自行结算，储存期限不得少于6个月。</w:t>
      </w:r>
    </w:p>
    <w:p w14:paraId="704AA23D">
      <w:pPr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2、利息按年利率4厘在粮食轮出后合并结算。</w:t>
      </w:r>
    </w:p>
    <w:p w14:paraId="0F52E1D1">
      <w:pPr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 xml:space="preserve">3、甲方参加竞标须向安徽省粮食和物资储备保障中心预交竞拍保证金220元/吨，在销售出库时可转作最后一批货款。 </w:t>
      </w:r>
    </w:p>
    <w:p w14:paraId="305A7C91">
      <w:pPr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right="360" w:rightChars="150" w:firstLine="281" w:firstLineChars="100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</w:rPr>
        <w:t>五、货物交割时间及办法</w:t>
      </w:r>
    </w:p>
    <w:p w14:paraId="333ED559">
      <w:pPr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1、乙方每天正常收发货时间为8:00-18:00（根据时令，经双方协商可适当调整），包括节假日。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br w:type="textWrapping"/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 xml:space="preserve">    2、甲方需提前一天与乙方代储单位协商确定收发货数量，告知时间、数量、车号、驾驶员联系电话等内容。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br w:type="textWrapping"/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 xml:space="preserve">    3、存储库点：东至县粮食购销有限责任公司张溪分公司南山塝中心库3号仓库。             </w:t>
      </w:r>
    </w:p>
    <w:p w14:paraId="165FB350">
      <w:pPr>
        <w:keepNext w:val="0"/>
        <w:keepLines w:val="0"/>
        <w:pageBreakBefore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right="360" w:rightChars="150" w:firstLine="281" w:firstLineChars="100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</w:rPr>
        <w:t>六、验收办法</w:t>
      </w:r>
    </w:p>
    <w:p w14:paraId="1D4AC293">
      <w:pPr>
        <w:keepNext w:val="0"/>
        <w:keepLines w:val="0"/>
        <w:pageBreakBefore w:val="0"/>
        <w:numPr>
          <w:ilvl w:val="0"/>
          <w:numId w:val="1"/>
        </w:numPr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检质：购进粮食经乙方抽样检验，符合质量标准的予以过磅接收入库，不符合的予以退货。若甲方对乙方的检验结果有异议，应当在接到委托方通知之时起24小时内向乙方书面提出，由双方共同取样，委托池州市质量检验检测中心进行鉴定（费用由责任方承担）。</w:t>
      </w:r>
    </w:p>
    <w:p w14:paraId="508F5250">
      <w:pPr>
        <w:keepNext w:val="0"/>
        <w:keepLines w:val="0"/>
        <w:pageBreakBefore w:val="0"/>
        <w:numPr>
          <w:ilvl w:val="0"/>
          <w:numId w:val="1"/>
        </w:numPr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检斤：质量检验合格后，地磅检斤入库，结算数量按地磅实际数量结算。</w:t>
      </w:r>
    </w:p>
    <w:p w14:paraId="0FB2F7B8">
      <w:pPr>
        <w:keepNext w:val="0"/>
        <w:keepLines w:val="0"/>
        <w:pageBreakBefore w:val="0"/>
        <w:numPr>
          <w:ilvl w:val="0"/>
          <w:numId w:val="1"/>
        </w:numPr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满仓鉴定和出库质检：委托池州市质量检验检测中心现场扦样，并出具质检报告鉴定；费用由乙方承担。</w:t>
      </w:r>
    </w:p>
    <w:p w14:paraId="3FC38834">
      <w:pPr>
        <w:keepNext w:val="0"/>
        <w:keepLines w:val="0"/>
        <w:pageBreakBefore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right="360" w:rightChars="150" w:firstLine="281" w:firstLineChars="100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</w:rPr>
        <w:t>七、货款结算</w:t>
      </w:r>
    </w:p>
    <w:p w14:paraId="43420DAB">
      <w:pPr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1、结算数量以交割验收库点地磅检斤为准；甲方交货时，应派员(甲方出具委托函)到指定验收库点监磅、确认数量和补库仓号并协调补库事宜，如不派员视同认可。</w:t>
      </w:r>
    </w:p>
    <w:p w14:paraId="5826CEA2">
      <w:pPr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 xml:space="preserve">2、购进货款结算方式： 每日入库的粮食可当天或按500吨一个批次结算（甲方需提供发票）； </w:t>
      </w:r>
    </w:p>
    <w:p w14:paraId="56CA85D3">
      <w:pPr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3、销售采取款到发货方式，货款可分1-3次完成支付，款到发货。</w:t>
      </w:r>
    </w:p>
    <w:p w14:paraId="63196180">
      <w:pPr>
        <w:keepNext w:val="0"/>
        <w:keepLines w:val="0"/>
        <w:pageBreakBefore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right="360" w:rightChars="150" w:firstLine="281" w:firstLineChars="100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</w:rPr>
        <w:t>八、违约责任：</w:t>
      </w:r>
    </w:p>
    <w:p w14:paraId="59002578">
      <w:pPr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 w:firstLine="560" w:firstLineChars="200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  <w:t xml:space="preserve">1、根据池州市质量检验检测中心的满仓鉴定结果，若质量、品质、卫生指标不符合本细则质量要求，由甲方负责在规定时间内调换符合要求的粮食。 </w:t>
      </w:r>
    </w:p>
    <w:p w14:paraId="6BAEF70B">
      <w:pPr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 w:firstLine="560" w:firstLineChars="200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  <w:t>2、在本合同期限内如产生价格和意外等风险，甲方不履行本协议，乙方自行销售时，将委托安徽省粮食和物资保障中心没收甲方履约保证金，并向甲方追究因违约造成的一切损失。</w:t>
      </w:r>
    </w:p>
    <w:p w14:paraId="23671D61">
      <w:pPr>
        <w:keepNext w:val="0"/>
        <w:keepLines w:val="0"/>
        <w:pageBreakBefore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right="360" w:rightChars="150" w:firstLine="281" w:firstLineChars="100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lang w:eastAsia="zh-CN"/>
        </w:rPr>
        <w:t>九、其他说明</w:t>
      </w:r>
      <w:bookmarkStart w:id="0" w:name="_GoBack"/>
      <w:bookmarkEnd w:id="0"/>
    </w:p>
    <w:p w14:paraId="1A5B8DC8">
      <w:pPr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 w:firstLine="560" w:firstLineChars="200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1、交割数量以交割验收库点地磅检斤为准（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  <w:t>不执行《关于执行粮食质量国家标准有关问题的规定》（国粮标198号）数量增扣）。</w:t>
      </w:r>
    </w:p>
    <w:p w14:paraId="29314FCD">
      <w:pPr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2、本次竞价交易价格为含税价。</w:t>
      </w:r>
    </w:p>
    <w:p w14:paraId="2D8DD43C">
      <w:pPr>
        <w:keepNext w:val="0"/>
        <w:keepLines w:val="0"/>
        <w:pageBreakBefore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  <w:highlight w:val="yellow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3、双方凭正式发票结算，有关印花税等税款按国家有关规定由各自自行缴纳。</w:t>
      </w:r>
    </w:p>
    <w:p w14:paraId="14651D49">
      <w:pPr>
        <w:keepNext w:val="0"/>
        <w:keepLines w:val="0"/>
        <w:pageBreakBefore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line="500" w:lineRule="exact"/>
        <w:ind w:left="240" w:leftChars="100" w:right="360" w:rightChars="150" w:firstLine="560" w:firstLineChars="200"/>
        <w:textAlignment w:val="auto"/>
        <w:rPr>
          <w:rFonts w:hint="eastAsia" w:ascii="仿宋" w:hAnsi="仿宋" w:eastAsia="仿宋" w:cs="仿宋"/>
          <w:color w:val="auto"/>
          <w:kern w:val="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4、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eastAsia="zh-CN"/>
        </w:rPr>
        <w:t>乙方指定收付款账户，户名: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u w:val="single"/>
          <w:lang w:val="en-US" w:eastAsia="zh-CN"/>
        </w:rPr>
        <w:t>东至县粮食购销有限责任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u w:val="single"/>
          <w:lang w:eastAsia="zh-CN"/>
        </w:rPr>
        <w:t>公司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eastAsia="zh-CN"/>
        </w:rPr>
        <w:t>；开户行：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u w:val="single"/>
          <w:lang w:eastAsia="zh-CN"/>
        </w:rPr>
        <w:t>中国农业发展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u w:val="single"/>
          <w:lang w:val="en-US" w:eastAsia="zh-CN"/>
        </w:rPr>
        <w:t>银行东至县支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u w:val="single"/>
          <w:lang w:eastAsia="zh-CN"/>
        </w:rPr>
        <w:t>行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eastAsia="zh-CN"/>
        </w:rPr>
        <w:t>；银行账号：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u w:val="single"/>
          <w:lang w:eastAsia="zh-CN"/>
        </w:rPr>
        <w:t>2033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u w:val="single"/>
          <w:lang w:val="en-US" w:eastAsia="zh-CN"/>
        </w:rPr>
        <w:t>4172100100000001861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eastAsia="zh-CN"/>
        </w:rPr>
        <w:t>。</w:t>
      </w:r>
    </w:p>
    <w:p w14:paraId="70F299FE"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="0" w:beforeAutospacing="0" w:after="0" w:afterAutospacing="0" w:line="500" w:lineRule="exact"/>
        <w:ind w:right="360" w:rightChars="150" w:firstLine="281" w:firstLineChars="100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lang w:val="en-US" w:eastAsia="zh-CN" w:bidi="ar-SA"/>
        </w:rPr>
        <w:t>十、本合同自甲乙双方法定代表人（或委托代理人）签字、单位盖章后生效。</w:t>
      </w:r>
    </w:p>
    <w:p w14:paraId="57422060"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="0" w:beforeAutospacing="0" w:after="0" w:afterAutospacing="0" w:line="500" w:lineRule="exact"/>
        <w:ind w:right="360" w:rightChars="150" w:firstLine="281" w:firstLineChars="100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lang w:val="en-US" w:eastAsia="zh-CN" w:bidi="ar-SA"/>
        </w:rPr>
        <w:t>十一、本</w:t>
      </w: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lang w:val="en-US" w:eastAsia="zh-CN" w:bidi="ar-SA"/>
        </w:rPr>
        <w:fldChar w:fldCharType="begin"/>
      </w: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lang w:val="en-US" w:eastAsia="zh-CN" w:bidi="ar-SA"/>
        </w:rPr>
        <w:instrText xml:space="preserve"> HYPERLINK "http://www.86exp.com/hetong/" </w:instrText>
      </w: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lang w:val="en-US" w:eastAsia="zh-CN" w:bidi="ar-SA"/>
        </w:rPr>
        <w:fldChar w:fldCharType="separate"/>
      </w: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lang w:val="en-US" w:eastAsia="zh-CN" w:bidi="ar-SA"/>
        </w:rPr>
        <w:t>合同</w:t>
      </w: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lang w:val="en-US" w:eastAsia="zh-CN" w:bidi="ar-SA"/>
        </w:rPr>
        <w:fldChar w:fldCharType="end"/>
      </w: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lang w:val="en-US" w:eastAsia="zh-CN" w:bidi="ar-SA"/>
        </w:rPr>
        <w:t>一式三份，甲方执一份，乙方两份。</w:t>
      </w:r>
    </w:p>
    <w:p w14:paraId="5D8F48F5"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="0" w:beforeAutospacing="0" w:after="0" w:afterAutospacing="0" w:line="500" w:lineRule="exact"/>
        <w:ind w:right="360" w:rightChars="150" w:firstLine="281" w:firstLineChars="100"/>
        <w:textAlignment w:val="auto"/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lang w:val="en-US" w:eastAsia="zh-CN" w:bidi="ar-SA"/>
        </w:rPr>
      </w:pPr>
    </w:p>
    <w:p w14:paraId="674E8630">
      <w:pPr>
        <w:keepNext w:val="0"/>
        <w:keepLines w:val="0"/>
        <w:pageBreakBefore w:val="0"/>
        <w:widowControl/>
        <w:suppressLineNumbers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Autospacing="0" w:afterAutospacing="0" w:line="480" w:lineRule="auto"/>
        <w:ind w:left="238" w:leftChars="99" w:right="360" w:rightChars="150" w:firstLine="0" w:firstLineChars="0"/>
        <w:jc w:val="left"/>
        <w:textAlignment w:val="auto"/>
        <w:rPr>
          <w:rFonts w:hint="eastAsia" w:ascii="仿宋" w:hAnsi="仿宋" w:eastAsia="仿宋" w:cs="仿宋"/>
          <w:color w:val="auto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 w:bidi="ar"/>
        </w:rPr>
        <w:t>甲方（盖章）：                    乙方（盖章）：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highlight w:val="none"/>
          <w:lang w:val="en-US" w:eastAsia="zh-CN" w:bidi="ar"/>
        </w:rPr>
        <w:t xml:space="preserve">         </w:t>
      </w:r>
    </w:p>
    <w:p w14:paraId="4AEE9EC3">
      <w:pPr>
        <w:keepNext w:val="0"/>
        <w:keepLines w:val="0"/>
        <w:pageBreakBefore w:val="0"/>
        <w:widowControl/>
        <w:suppressLineNumbers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Autospacing="0" w:afterAutospacing="0" w:line="480" w:lineRule="auto"/>
        <w:ind w:left="240" w:leftChars="100" w:right="360" w:rightChars="15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  <w:u w:val="single"/>
          <w:lang w:val="en-US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highlight w:val="none"/>
          <w:lang w:val="en-US" w:eastAsia="zh-CN" w:bidi="ar"/>
        </w:rPr>
        <w:t>法定代表人（委托代理人）：        法定代表人(委托代理人)：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 w:bidi="ar"/>
        </w:rPr>
        <w:t xml:space="preserve">  </w:t>
      </w:r>
    </w:p>
    <w:p w14:paraId="39CE6824">
      <w:pPr>
        <w:keepNext w:val="0"/>
        <w:keepLines/>
        <w:pageBreakBefore w:val="0"/>
        <w:widowControl w:val="0"/>
        <w:suppressLineNumbers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Autospacing="0" w:afterAutospacing="0" w:line="480" w:lineRule="auto"/>
        <w:ind w:left="240" w:leftChars="100" w:right="360" w:rightChars="150"/>
        <w:jc w:val="left"/>
        <w:textAlignment w:val="auto"/>
        <w:rPr>
          <w:rFonts w:hint="eastAsia" w:ascii="仿宋" w:hAnsi="仿宋" w:eastAsia="仿宋" w:cs="仿宋"/>
          <w:color w:val="auto"/>
          <w:sz w:val="21"/>
          <w:szCs w:val="21"/>
          <w:lang w:val="en-US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 w:bidi="ar"/>
        </w:rPr>
        <w:t>开户银行：                        开户银行：</w:t>
      </w:r>
      <w:r>
        <w:rPr>
          <w:rFonts w:hint="eastAsia" w:ascii="仿宋" w:hAnsi="仿宋" w:eastAsia="仿宋" w:cs="仿宋"/>
          <w:color w:val="auto"/>
          <w:kern w:val="0"/>
          <w:sz w:val="21"/>
          <w:szCs w:val="21"/>
          <w:u w:val="single"/>
          <w:lang w:val="en-US" w:eastAsia="zh-CN" w:bidi="ar"/>
        </w:rPr>
        <w:t>中国农业发展银行东至县支行</w:t>
      </w:r>
    </w:p>
    <w:p w14:paraId="298B5E96">
      <w:pPr>
        <w:keepNext w:val="0"/>
        <w:keepLines w:val="0"/>
        <w:pageBreakBefore w:val="0"/>
        <w:widowControl/>
        <w:suppressLineNumbers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Autospacing="0" w:afterAutospacing="0" w:line="480" w:lineRule="auto"/>
        <w:ind w:left="240" w:leftChars="100" w:right="360" w:rightChars="150"/>
        <w:jc w:val="left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 w:bidi="ar"/>
        </w:rPr>
        <w:t>银行帐号：                        银行帐号</w:t>
      </w:r>
      <w:r>
        <w:rPr>
          <w:rFonts w:hint="eastAsia" w:ascii="仿宋" w:hAnsi="仿宋" w:eastAsia="仿宋" w:cs="仿宋"/>
          <w:color w:val="auto"/>
          <w:kern w:val="0"/>
          <w:sz w:val="22"/>
          <w:szCs w:val="22"/>
          <w:lang w:val="en-US" w:eastAsia="zh-CN" w:bidi="ar"/>
        </w:rPr>
        <w:t>：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u w:val="single"/>
          <w:lang w:eastAsia="zh-CN"/>
        </w:rPr>
        <w:t>2033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  <w:u w:val="single"/>
          <w:lang w:val="en-US" w:eastAsia="zh-CN"/>
        </w:rPr>
        <w:t>4172100100000001861</w:t>
      </w:r>
    </w:p>
    <w:p w14:paraId="4852DEC1">
      <w:pPr>
        <w:keepNext w:val="0"/>
        <w:keepLines w:val="0"/>
        <w:pageBreakBefore w:val="0"/>
        <w:widowControl/>
        <w:suppressLineNumbers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Autospacing="0" w:afterAutospacing="0" w:line="480" w:lineRule="auto"/>
        <w:ind w:left="240" w:leftChars="100" w:right="360" w:rightChars="150"/>
        <w:jc w:val="left"/>
        <w:textAlignment w:val="auto"/>
        <w:rPr>
          <w:rFonts w:hint="eastAsia" w:ascii="仿宋" w:hAnsi="仿宋" w:eastAsia="仿宋" w:cs="仿宋"/>
          <w:color w:val="auto"/>
          <w:sz w:val="22"/>
          <w:szCs w:val="22"/>
          <w:lang w:val="en-US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 w:bidi="ar"/>
        </w:rPr>
        <w:t>单位地址：                        单位地址：</w:t>
      </w:r>
      <w:r>
        <w:rPr>
          <w:rFonts w:hint="eastAsia" w:ascii="仿宋" w:hAnsi="仿宋" w:eastAsia="仿宋" w:cs="仿宋"/>
          <w:color w:val="auto"/>
          <w:kern w:val="0"/>
          <w:sz w:val="22"/>
          <w:szCs w:val="22"/>
          <w:u w:val="single"/>
          <w:lang w:val="en-US" w:eastAsia="zh-CN" w:bidi="ar"/>
        </w:rPr>
        <w:t xml:space="preserve">东至县尧渡镇尧南路6号 </w:t>
      </w:r>
    </w:p>
    <w:p w14:paraId="5CA6F37F">
      <w:pPr>
        <w:keepNext w:val="0"/>
        <w:keepLines w:val="0"/>
        <w:pageBreakBefore w:val="0"/>
        <w:widowControl/>
        <w:suppressLineNumbers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Autospacing="0" w:afterAutospacing="0" w:line="480" w:lineRule="auto"/>
        <w:ind w:left="940" w:leftChars="100" w:right="360" w:rightChars="150" w:hanging="700" w:hangingChars="250"/>
        <w:jc w:val="left"/>
        <w:textAlignment w:val="auto"/>
        <w:rPr>
          <w:rFonts w:hint="eastAsia" w:ascii="仿宋" w:hAnsi="仿宋" w:eastAsia="仿宋" w:cs="仿宋"/>
          <w:color w:val="auto"/>
          <w:sz w:val="28"/>
          <w:szCs w:val="28"/>
          <w:lang w:val="en-US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 w:bidi="ar"/>
        </w:rPr>
        <w:t>联系电话：                        联系电话：</w:t>
      </w:r>
    </w:p>
    <w:p w14:paraId="130E0413">
      <w:pPr>
        <w:keepNext w:val="0"/>
        <w:keepLines w:val="0"/>
        <w:pageBreakBefore w:val="0"/>
        <w:widowControl/>
        <w:suppressLineNumbers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Autospacing="0" w:afterAutospacing="0" w:line="480" w:lineRule="auto"/>
        <w:ind w:left="240" w:leftChars="100" w:right="360" w:rightChars="150"/>
        <w:jc w:val="center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 w:bidi="ar"/>
        </w:rPr>
        <w:t xml:space="preserve"> </w:t>
      </w:r>
    </w:p>
    <w:p w14:paraId="720BDF97">
      <w:pPr>
        <w:keepNext w:val="0"/>
        <w:keepLines w:val="0"/>
        <w:pageBreakBefore w:val="0"/>
        <w:widowControl/>
        <w:suppressLineNumbers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Autospacing="0" w:afterAutospacing="0" w:line="480" w:lineRule="auto"/>
        <w:ind w:left="240" w:leftChars="100" w:right="360" w:rightChars="150"/>
        <w:jc w:val="center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 w:bidi="ar"/>
        </w:rPr>
        <w:t xml:space="preserve">                       签约时间：2025年  月   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highlight w:val="none"/>
          <w:lang w:val="en-US" w:eastAsia="zh-CN" w:bidi="ar"/>
        </w:rPr>
        <w:t>日</w:t>
      </w:r>
    </w:p>
    <w:p w14:paraId="4516888F">
      <w:pPr>
        <w:keepNext w:val="0"/>
        <w:keepLines w:val="0"/>
        <w:pageBreakBefore w:val="0"/>
        <w:widowControl/>
        <w:suppressLineNumbers w:val="0"/>
        <w:kinsoku/>
        <w:wordWrap w:val="0"/>
        <w:overflowPunct/>
        <w:topLinePunct/>
        <w:autoSpaceDE/>
        <w:autoSpaceDN/>
        <w:bidi w:val="0"/>
        <w:adjustRightInd w:val="0"/>
        <w:snapToGrid w:val="0"/>
        <w:spacing w:beforeAutospacing="0" w:afterAutospacing="0" w:line="500" w:lineRule="exact"/>
        <w:ind w:left="240" w:leftChars="100" w:right="360" w:rightChars="150"/>
        <w:jc w:val="center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</w:p>
    <w:p w14:paraId="6553CF11">
      <w:pPr>
        <w:keepNext w:val="0"/>
        <w:keepLines w:val="0"/>
        <w:pageBreakBefore w:val="0"/>
        <w:kinsoku/>
        <w:wordWrap w:val="0"/>
        <w:overflowPunct/>
        <w:topLinePunct/>
        <w:autoSpaceDE/>
        <w:autoSpaceDN/>
        <w:bidi w:val="0"/>
        <w:spacing w:line="500" w:lineRule="exact"/>
        <w:ind w:left="240" w:leftChars="100" w:right="360" w:rightChars="150"/>
        <w:textAlignment w:val="auto"/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</w:pPr>
    </w:p>
    <w:sectPr>
      <w:footerReference r:id="rId3" w:type="default"/>
      <w:footerReference r:id="rId4" w:type="even"/>
      <w:pgSz w:w="11907" w:h="16840"/>
      <w:pgMar w:top="1418" w:right="1247" w:bottom="1134" w:left="124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B2933D"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1</w:t>
    </w:r>
    <w:r>
      <w:fldChar w:fldCharType="end"/>
    </w:r>
  </w:p>
  <w:p w14:paraId="3D3D26A8"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8AC90D"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 w14:paraId="450AD400">
    <w:pPr>
      <w:pStyle w:val="2"/>
      <w:ind w:right="36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9E9A225"/>
    <w:multiLevelType w:val="singleLevel"/>
    <w:tmpl w:val="D9E9A225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0E793D"/>
    <w:rsid w:val="179C3A1B"/>
    <w:rsid w:val="199C5D5C"/>
    <w:rsid w:val="1A0E793D"/>
    <w:rsid w:val="23EA2C95"/>
    <w:rsid w:val="28262DC2"/>
    <w:rsid w:val="48D726A8"/>
    <w:rsid w:val="491B0DAA"/>
    <w:rsid w:val="5E575144"/>
    <w:rsid w:val="62283677"/>
    <w:rsid w:val="78B93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宋体" w:cs="Times New Roman"/>
      <w:sz w:val="24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  <w:bCs/>
    </w:rPr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1968</Words>
  <Characters>2136</Characters>
  <Lines>0</Lines>
  <Paragraphs>0</Paragraphs>
  <TotalTime>155</TotalTime>
  <ScaleCrop>false</ScaleCrop>
  <LinksUpToDate>false</LinksUpToDate>
  <CharactersWithSpaces>2429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2025-09-25T03:32:00Z</dcterms:created>
  <dc:creator>陈凯</dc:creator>
  <cp:lastModifiedBy>陈凯</cp:lastModifiedBy>
  <dcterms:modified xsi:type="dcterms:W3CDTF">2025-10-10T07:24:04Z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BCB19D795E644BEC832B3FA79E6E3AB3_13</vt:lpwstr>
  </property>
  <property fmtid="{D5CDD505-2E9C-101B-9397-08002B2CF9AE}" pid="4" name="KSOTemplateDocerSaveRecord">
    <vt:lpwstr>eyJoZGlkIjoiZDY2Y2Y0M2ZiZmI0Y2E1NWMxZDIwN2UwMzQzMTljMGQiLCJ1c2VySWQiOiI0NjcwODQ3ODcifQ==</vt:lpwstr>
  </property>
</Properties>
</file>