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cs="方正小标宋_GBK" w:asciiTheme="majorEastAsia" w:hAnsiTheme="majorEastAsia" w:eastAsiaTheme="majorEastAsia"/>
          <w:b/>
          <w:kern w:val="0"/>
          <w:sz w:val="36"/>
          <w:szCs w:val="36"/>
        </w:rPr>
      </w:pPr>
      <w:r>
        <w:rPr>
          <w:rFonts w:hint="eastAsia" w:asciiTheme="majorEastAsia" w:hAnsiTheme="majorEastAsia" w:eastAsiaTheme="majorEastAsia" w:cstheme="minorBidi"/>
          <w:b/>
          <w:kern w:val="0"/>
          <w:sz w:val="36"/>
          <w:szCs w:val="36"/>
        </w:rPr>
        <w:t>良苑大厦部分消防设施及院内附属工程改造项</w:t>
      </w:r>
    </w:p>
    <w:p>
      <w:pPr>
        <w:pStyle w:val="4"/>
        <w:spacing w:before="156" w:beforeLines="50" w:after="0" w:line="520" w:lineRule="exact"/>
        <w:rPr>
          <w:rStyle w:val="13"/>
          <w:rFonts w:cs="方正小标宋_GBK" w:asciiTheme="majorEastAsia" w:hAnsiTheme="majorEastAsia" w:eastAsiaTheme="majorEastAsia"/>
          <w:b/>
          <w:sz w:val="36"/>
          <w:szCs w:val="36"/>
        </w:rPr>
      </w:pPr>
      <w:r>
        <w:rPr>
          <w:rFonts w:hint="eastAsia" w:cs="方正小标宋_GBK" w:asciiTheme="majorEastAsia" w:hAnsiTheme="majorEastAsia" w:eastAsiaTheme="majorEastAsia"/>
          <w:b/>
          <w:sz w:val="36"/>
          <w:szCs w:val="36"/>
        </w:rPr>
        <w:t>项目</w:t>
      </w:r>
      <w:r>
        <w:rPr>
          <w:rStyle w:val="13"/>
          <w:rFonts w:hint="eastAsia" w:cs="方正小标宋_GBK" w:asciiTheme="majorEastAsia" w:hAnsiTheme="majorEastAsia" w:eastAsiaTheme="majorEastAsia"/>
          <w:b/>
          <w:sz w:val="36"/>
          <w:szCs w:val="36"/>
        </w:rPr>
        <w:t>技术标准和要求</w:t>
      </w:r>
      <w:bookmarkStart w:id="0" w:name="_Toc625"/>
      <w:bookmarkStart w:id="1" w:name="_Toc15267"/>
    </w:p>
    <w:p>
      <w:pPr>
        <w:pStyle w:val="4"/>
        <w:spacing w:before="156" w:beforeLines="50" w:after="0"/>
        <w:ind w:firstLine="420" w:firstLineChars="150"/>
        <w:jc w:val="both"/>
        <w:rPr>
          <w:rStyle w:val="13"/>
          <w:rFonts w:ascii="仿宋" w:hAnsi="仿宋" w:eastAsia="仿宋" w:cs="仿宋"/>
          <w:szCs w:val="28"/>
          <w:lang w:eastAsia="ar-SA"/>
        </w:rPr>
      </w:pPr>
      <w:r>
        <w:rPr>
          <w:rStyle w:val="13"/>
          <w:rFonts w:hint="eastAsia" w:ascii="仿宋" w:hAnsi="仿宋" w:eastAsia="仿宋" w:cs="仿宋"/>
          <w:szCs w:val="28"/>
        </w:rPr>
        <w:t>一、</w:t>
      </w:r>
      <w:r>
        <w:rPr>
          <w:rStyle w:val="13"/>
          <w:rFonts w:hint="eastAsia" w:ascii="仿宋" w:hAnsi="仿宋" w:eastAsia="仿宋" w:cs="仿宋"/>
          <w:szCs w:val="28"/>
          <w:lang w:eastAsia="ar-SA"/>
        </w:rPr>
        <w:t>本工程项目的材料、设备、施工须达到现行中华人民共和国以及安徽省、</w:t>
      </w:r>
      <w:r>
        <w:rPr>
          <w:rStyle w:val="13"/>
          <w:rFonts w:hint="eastAsia" w:ascii="仿宋" w:hAnsi="仿宋" w:eastAsia="仿宋" w:cs="仿宋"/>
          <w:szCs w:val="28"/>
        </w:rPr>
        <w:t>合肥市</w:t>
      </w:r>
      <w:r>
        <w:rPr>
          <w:rStyle w:val="13"/>
          <w:rFonts w:hint="eastAsia" w:ascii="仿宋" w:hAnsi="仿宋" w:eastAsia="仿宋" w:cs="仿宋"/>
          <w:szCs w:val="28"/>
          <w:lang w:eastAsia="ar-SA"/>
        </w:rPr>
        <w:t>或行业的有关工程建设标准、规范和设计文件的要求。</w:t>
      </w:r>
      <w:bookmarkEnd w:id="0"/>
      <w:bookmarkEnd w:id="1"/>
    </w:p>
    <w:p>
      <w:pPr>
        <w:pStyle w:val="4"/>
        <w:spacing w:before="156" w:beforeLines="50" w:after="0"/>
        <w:ind w:firstLine="420" w:firstLineChars="150"/>
        <w:jc w:val="both"/>
        <w:rPr>
          <w:rFonts w:ascii="仿宋" w:hAnsi="仿宋" w:eastAsia="仿宋" w:cs="仿宋"/>
          <w:szCs w:val="28"/>
          <w:shd w:val="clear" w:color="auto" w:fill="FFFFFF"/>
        </w:rPr>
      </w:pPr>
      <w:r>
        <w:rPr>
          <w:rFonts w:hint="eastAsia" w:ascii="仿宋" w:hAnsi="仿宋" w:eastAsia="仿宋" w:cs="仿宋"/>
          <w:szCs w:val="28"/>
          <w:shd w:val="clear" w:color="auto" w:fill="FFFFFF"/>
        </w:rPr>
        <w:t>二、改造范围和内容</w:t>
      </w:r>
    </w:p>
    <w:p>
      <w:pPr>
        <w:pStyle w:val="4"/>
        <w:spacing w:before="156" w:beforeLines="50" w:after="0"/>
        <w:ind w:firstLine="420" w:firstLineChars="150"/>
        <w:jc w:val="both"/>
        <w:rPr>
          <w:rFonts w:ascii="仿宋" w:hAnsi="仿宋" w:eastAsia="仿宋" w:cs="仿宋"/>
          <w:szCs w:val="28"/>
          <w:lang w:eastAsia="ar-SA"/>
        </w:rPr>
      </w:pPr>
      <w:r>
        <w:rPr>
          <w:rFonts w:hint="eastAsia" w:ascii="仿宋" w:hAnsi="仿宋" w:eastAsia="仿宋" w:cs="仿宋"/>
          <w:color w:val="000000" w:themeColor="text1"/>
          <w:szCs w:val="28"/>
          <w:shd w:val="clear" w:color="auto" w:fill="FFFFFF"/>
          <w14:textFill>
            <w14:solidFill>
              <w14:schemeClr w14:val="tx1"/>
            </w14:solidFill>
          </w14:textFill>
        </w:rPr>
        <w:t>本次维修改造范围为</w:t>
      </w:r>
      <w:r>
        <w:rPr>
          <w:rFonts w:hint="eastAsia" w:ascii="仿宋" w:hAnsi="仿宋" w:eastAsia="仿宋"/>
          <w:szCs w:val="28"/>
        </w:rPr>
        <w:t>良苑大厦部分消防设施及院内附属工程改造项目</w:t>
      </w:r>
      <w:r>
        <w:rPr>
          <w:rFonts w:hint="eastAsia" w:ascii="仿宋" w:hAnsi="仿宋" w:eastAsia="仿宋" w:cs="仿宋"/>
          <w:color w:val="000000" w:themeColor="text1"/>
          <w:szCs w:val="28"/>
          <w:shd w:val="clear" w:color="auto" w:fill="FFFFFF"/>
          <w14:textFill>
            <w14:solidFill>
              <w14:schemeClr w14:val="tx1"/>
            </w14:solidFill>
          </w14:textFill>
        </w:rPr>
        <w:t>（包括但不限于消火栓、管道维修更换、吊顶拆除；垃圾池拆除、房屋、院墙翻新、雨棚更换、砌筑沙池等）。</w:t>
      </w:r>
    </w:p>
    <w:p>
      <w:pPr>
        <w:pStyle w:val="9"/>
        <w:shd w:val="clear" w:color="auto" w:fill="FFFFFF"/>
        <w:spacing w:line="500" w:lineRule="exact"/>
        <w:ind w:firstLine="420" w:firstLineChars="15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二、施工要求</w:t>
      </w:r>
    </w:p>
    <w:p>
      <w:pPr>
        <w:pStyle w:val="9"/>
        <w:shd w:val="clear" w:color="auto" w:fill="FFFFFF"/>
        <w:spacing w:line="500" w:lineRule="exact"/>
        <w:ind w:firstLine="420" w:firstLineChars="15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现场采用分块施工不得影响正常办公需求，项目施工如需向住建或消防等主管部门报批手续由施工方办理费用自理；甲方协助办理。</w:t>
      </w:r>
    </w:p>
    <w:p>
      <w:pPr>
        <w:pStyle w:val="9"/>
        <w:shd w:val="clear" w:color="auto" w:fill="FFFFFF"/>
        <w:spacing w:line="500" w:lineRule="exact"/>
        <w:ind w:firstLine="420" w:firstLineChars="15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三、施工材料要求</w:t>
      </w:r>
    </w:p>
    <w:p>
      <w:pPr>
        <w:pStyle w:val="9"/>
        <w:shd w:val="clear" w:color="auto" w:fill="FFFFFF"/>
        <w:spacing w:line="500" w:lineRule="exact"/>
        <w:ind w:firstLine="420" w:firstLineChars="15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中标单位应按响应文件的内容和有关标准要求采购施工材料，并向采购人提供产品合格证明及出厂证明，对其质量负责。采购人有权对中标单位提供的材料进行抽检并咨询第三方检测机构，如中标单位提供的材料不合格，采购人有权进行退货，并要求中标单位提供合格的施工材料。</w:t>
      </w:r>
    </w:p>
    <w:p>
      <w:pPr>
        <w:pStyle w:val="9"/>
        <w:shd w:val="clear" w:color="auto" w:fill="FFFFFF"/>
        <w:spacing w:line="500" w:lineRule="exact"/>
        <w:rPr>
          <w:sz w:val="28"/>
          <w:szCs w:val="28"/>
          <w:shd w:val="clear" w:color="auto" w:fill="FFFFFF"/>
        </w:rPr>
      </w:pPr>
    </w:p>
    <w:p>
      <w:pPr>
        <w:pStyle w:val="9"/>
        <w:shd w:val="clear" w:color="auto" w:fill="FFFFFF"/>
        <w:spacing w:line="500" w:lineRule="exact"/>
        <w:jc w:val="both"/>
        <w:rPr>
          <w:rFonts w:hint="eastAsia"/>
          <w:b/>
          <w:bCs/>
          <w:sz w:val="28"/>
          <w:szCs w:val="28"/>
          <w:shd w:val="clear" w:color="auto" w:fill="FFFFFF"/>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97"/>
        <w:gridCol w:w="2150"/>
        <w:gridCol w:w="2150"/>
        <w:gridCol w:w="2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97" w:type="dxa"/>
          </w:tcPr>
          <w:p>
            <w:pPr>
              <w:pStyle w:val="9"/>
              <w:spacing w:line="500" w:lineRule="exact"/>
              <w:jc w:val="center"/>
              <w:rPr>
                <w:sz w:val="28"/>
                <w:szCs w:val="28"/>
                <w:shd w:val="clear" w:color="auto" w:fill="FFFFFF"/>
              </w:rPr>
            </w:pPr>
            <w:r>
              <w:rPr>
                <w:rFonts w:hint="eastAsia"/>
                <w:sz w:val="28"/>
                <w:szCs w:val="28"/>
                <w:shd w:val="clear" w:color="auto" w:fill="FFFFFF"/>
              </w:rPr>
              <w:t>序号</w:t>
            </w:r>
          </w:p>
        </w:tc>
        <w:tc>
          <w:tcPr>
            <w:tcW w:w="2150" w:type="dxa"/>
          </w:tcPr>
          <w:p>
            <w:pPr>
              <w:pStyle w:val="9"/>
              <w:spacing w:line="500" w:lineRule="exact"/>
              <w:jc w:val="center"/>
              <w:rPr>
                <w:sz w:val="28"/>
                <w:szCs w:val="28"/>
                <w:shd w:val="clear" w:color="auto" w:fill="FFFFFF"/>
              </w:rPr>
            </w:pPr>
            <w:r>
              <w:rPr>
                <w:rFonts w:hint="eastAsia"/>
                <w:sz w:val="28"/>
                <w:szCs w:val="28"/>
                <w:shd w:val="clear" w:color="auto" w:fill="FFFFFF"/>
              </w:rPr>
              <w:t>名称</w:t>
            </w:r>
          </w:p>
        </w:tc>
        <w:tc>
          <w:tcPr>
            <w:tcW w:w="2150" w:type="dxa"/>
          </w:tcPr>
          <w:p>
            <w:pPr>
              <w:pStyle w:val="9"/>
              <w:spacing w:line="500" w:lineRule="exact"/>
              <w:jc w:val="center"/>
              <w:rPr>
                <w:sz w:val="28"/>
                <w:szCs w:val="28"/>
                <w:shd w:val="clear" w:color="auto" w:fill="FFFFFF"/>
              </w:rPr>
            </w:pPr>
            <w:r>
              <w:rPr>
                <w:rFonts w:hint="eastAsia"/>
                <w:sz w:val="28"/>
                <w:szCs w:val="28"/>
                <w:shd w:val="clear" w:color="auto" w:fill="FFFFFF"/>
              </w:rPr>
              <w:t>推荐品牌</w:t>
            </w:r>
          </w:p>
        </w:tc>
        <w:tc>
          <w:tcPr>
            <w:tcW w:w="2125" w:type="dxa"/>
          </w:tcPr>
          <w:p>
            <w:pPr>
              <w:pStyle w:val="9"/>
              <w:spacing w:line="500" w:lineRule="exact"/>
              <w:jc w:val="center"/>
              <w:rPr>
                <w:sz w:val="28"/>
                <w:szCs w:val="28"/>
                <w:shd w:val="clear" w:color="auto" w:fill="FFFFFF"/>
              </w:rPr>
            </w:pPr>
            <w:r>
              <w:rPr>
                <w:rFonts w:hint="eastAsia"/>
                <w:sz w:val="28"/>
                <w:szCs w:val="28"/>
                <w:shd w:val="clear" w:color="auto" w:fill="FFFFFF"/>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97" w:type="dxa"/>
          </w:tcPr>
          <w:p>
            <w:pPr>
              <w:pStyle w:val="9"/>
              <w:spacing w:line="500" w:lineRule="exact"/>
              <w:jc w:val="center"/>
              <w:rPr>
                <w:sz w:val="28"/>
                <w:szCs w:val="28"/>
                <w:shd w:val="clear" w:color="auto" w:fill="FFFFFF"/>
              </w:rPr>
            </w:pPr>
            <w:r>
              <w:rPr>
                <w:rFonts w:hint="eastAsia"/>
                <w:sz w:val="28"/>
                <w:szCs w:val="28"/>
                <w:shd w:val="clear" w:color="auto" w:fill="FFFFFF"/>
              </w:rPr>
              <w:t>1</w:t>
            </w:r>
          </w:p>
        </w:tc>
        <w:tc>
          <w:tcPr>
            <w:tcW w:w="2150" w:type="dxa"/>
          </w:tcPr>
          <w:p>
            <w:pPr>
              <w:pStyle w:val="9"/>
              <w:spacing w:line="500" w:lineRule="exact"/>
              <w:jc w:val="center"/>
              <w:rPr>
                <w:sz w:val="28"/>
                <w:szCs w:val="28"/>
                <w:shd w:val="clear" w:color="auto" w:fill="FFFFFF"/>
              </w:rPr>
            </w:pPr>
            <w:r>
              <w:rPr>
                <w:rFonts w:hint="eastAsia"/>
                <w:sz w:val="28"/>
                <w:szCs w:val="28"/>
                <w:shd w:val="clear" w:color="auto" w:fill="FFFFFF"/>
              </w:rPr>
              <w:t>照明灯源</w:t>
            </w:r>
          </w:p>
        </w:tc>
        <w:tc>
          <w:tcPr>
            <w:tcW w:w="2150" w:type="dxa"/>
          </w:tcPr>
          <w:p>
            <w:pPr>
              <w:pStyle w:val="9"/>
              <w:spacing w:line="500" w:lineRule="exact"/>
              <w:jc w:val="center"/>
              <w:rPr>
                <w:sz w:val="28"/>
                <w:szCs w:val="28"/>
                <w:shd w:val="clear" w:color="auto" w:fill="FFFFFF"/>
              </w:rPr>
            </w:pPr>
            <w:r>
              <w:rPr>
                <w:rFonts w:hint="eastAsia"/>
                <w:sz w:val="28"/>
                <w:szCs w:val="28"/>
                <w:shd w:val="clear" w:color="auto" w:fill="FFFFFF"/>
              </w:rPr>
              <w:t>欧普、雷士、三雄极光</w:t>
            </w:r>
          </w:p>
        </w:tc>
        <w:tc>
          <w:tcPr>
            <w:tcW w:w="2125" w:type="dxa"/>
          </w:tcPr>
          <w:p>
            <w:pPr>
              <w:pStyle w:val="9"/>
              <w:spacing w:line="500" w:lineRule="exact"/>
              <w:jc w:val="center"/>
              <w:rPr>
                <w:sz w:val="28"/>
                <w:szCs w:val="28"/>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097" w:type="dxa"/>
          </w:tcPr>
          <w:p>
            <w:pPr>
              <w:pStyle w:val="9"/>
              <w:spacing w:line="500" w:lineRule="exact"/>
              <w:jc w:val="center"/>
              <w:rPr>
                <w:sz w:val="28"/>
                <w:szCs w:val="28"/>
                <w:shd w:val="clear" w:color="auto" w:fill="FFFFFF"/>
              </w:rPr>
            </w:pPr>
            <w:r>
              <w:rPr>
                <w:rFonts w:hint="eastAsia"/>
                <w:sz w:val="28"/>
                <w:szCs w:val="28"/>
                <w:shd w:val="clear" w:color="auto" w:fill="FFFFFF"/>
              </w:rPr>
              <w:t>2</w:t>
            </w:r>
          </w:p>
        </w:tc>
        <w:tc>
          <w:tcPr>
            <w:tcW w:w="2150" w:type="dxa"/>
          </w:tcPr>
          <w:p>
            <w:pPr>
              <w:pStyle w:val="9"/>
              <w:spacing w:line="500" w:lineRule="exact"/>
              <w:rPr>
                <w:sz w:val="28"/>
                <w:szCs w:val="28"/>
                <w:shd w:val="clear" w:color="auto" w:fill="FFFFFF"/>
              </w:rPr>
            </w:pPr>
            <w:r>
              <w:rPr>
                <w:rFonts w:hint="eastAsia"/>
                <w:sz w:val="28"/>
                <w:szCs w:val="28"/>
                <w:shd w:val="clear" w:color="auto" w:fill="FFFFFF"/>
              </w:rPr>
              <w:t>真石漆、乳胶漆</w:t>
            </w:r>
          </w:p>
        </w:tc>
        <w:tc>
          <w:tcPr>
            <w:tcW w:w="2150" w:type="dxa"/>
          </w:tcPr>
          <w:p>
            <w:pPr>
              <w:pStyle w:val="9"/>
              <w:spacing w:line="500" w:lineRule="exact"/>
              <w:rPr>
                <w:sz w:val="28"/>
                <w:szCs w:val="28"/>
                <w:shd w:val="clear" w:color="auto" w:fill="FFFFFF"/>
              </w:rPr>
            </w:pPr>
            <w:r>
              <w:rPr>
                <w:rFonts w:hint="eastAsia"/>
                <w:sz w:val="28"/>
                <w:szCs w:val="28"/>
                <w:shd w:val="clear" w:color="auto" w:fill="FFFFFF"/>
              </w:rPr>
              <w:t>立邦、三颗树、华润</w:t>
            </w:r>
          </w:p>
        </w:tc>
        <w:tc>
          <w:tcPr>
            <w:tcW w:w="2125" w:type="dxa"/>
          </w:tcPr>
          <w:p>
            <w:pPr>
              <w:pStyle w:val="9"/>
              <w:spacing w:line="500" w:lineRule="exact"/>
              <w:jc w:val="center"/>
              <w:rPr>
                <w:sz w:val="28"/>
                <w:szCs w:val="28"/>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97" w:type="dxa"/>
          </w:tcPr>
          <w:p>
            <w:pPr>
              <w:pStyle w:val="9"/>
              <w:spacing w:line="500" w:lineRule="exact"/>
              <w:jc w:val="center"/>
              <w:rPr>
                <w:sz w:val="28"/>
                <w:szCs w:val="28"/>
                <w:shd w:val="clear" w:color="auto" w:fill="FFFFFF"/>
              </w:rPr>
            </w:pPr>
            <w:r>
              <w:rPr>
                <w:rFonts w:hint="eastAsia"/>
                <w:sz w:val="28"/>
                <w:szCs w:val="28"/>
                <w:shd w:val="clear" w:color="auto" w:fill="FFFFFF"/>
              </w:rPr>
              <w:t>3</w:t>
            </w:r>
          </w:p>
        </w:tc>
        <w:tc>
          <w:tcPr>
            <w:tcW w:w="2150" w:type="dxa"/>
          </w:tcPr>
          <w:p>
            <w:pPr>
              <w:pStyle w:val="9"/>
              <w:spacing w:line="500" w:lineRule="exact"/>
              <w:jc w:val="center"/>
              <w:rPr>
                <w:sz w:val="28"/>
                <w:szCs w:val="28"/>
                <w:shd w:val="clear" w:color="auto" w:fill="FFFFFF"/>
              </w:rPr>
            </w:pPr>
            <w:r>
              <w:rPr>
                <w:rFonts w:hint="eastAsia"/>
                <w:sz w:val="28"/>
                <w:szCs w:val="28"/>
                <w:shd w:val="clear" w:color="auto" w:fill="FFFFFF"/>
              </w:rPr>
              <w:t>电线</w:t>
            </w:r>
          </w:p>
        </w:tc>
        <w:tc>
          <w:tcPr>
            <w:tcW w:w="2150" w:type="dxa"/>
          </w:tcPr>
          <w:p>
            <w:pPr>
              <w:pStyle w:val="9"/>
              <w:spacing w:line="500" w:lineRule="exact"/>
              <w:rPr>
                <w:sz w:val="28"/>
                <w:szCs w:val="28"/>
                <w:shd w:val="clear" w:color="auto" w:fill="FFFFFF"/>
              </w:rPr>
            </w:pPr>
            <w:r>
              <w:rPr>
                <w:rFonts w:hint="eastAsia"/>
                <w:sz w:val="28"/>
                <w:szCs w:val="28"/>
                <w:shd w:val="clear" w:color="auto" w:fill="FFFFFF"/>
              </w:rPr>
              <w:t>无锡远东、江南、绿宝</w:t>
            </w:r>
          </w:p>
        </w:tc>
        <w:tc>
          <w:tcPr>
            <w:tcW w:w="2125" w:type="dxa"/>
          </w:tcPr>
          <w:p>
            <w:pPr>
              <w:pStyle w:val="9"/>
              <w:spacing w:line="500" w:lineRule="exact"/>
              <w:rPr>
                <w:sz w:val="28"/>
                <w:szCs w:val="28"/>
                <w:shd w:val="clear" w:color="auto" w:fill="FFFFFF"/>
              </w:rPr>
            </w:pPr>
          </w:p>
        </w:tc>
      </w:tr>
    </w:tbl>
    <w:p>
      <w:pPr>
        <w:pStyle w:val="9"/>
        <w:shd w:val="clear" w:color="auto" w:fill="FFFFFF"/>
        <w:spacing w:line="500" w:lineRule="exact"/>
        <w:jc w:val="both"/>
        <w:rPr>
          <w:rFonts w:hint="eastAsia"/>
          <w:b/>
          <w:bCs/>
          <w:sz w:val="28"/>
          <w:szCs w:val="28"/>
          <w:shd w:val="clear" w:color="auto" w:fill="FFFFFF"/>
        </w:rPr>
      </w:pPr>
      <w:bookmarkStart w:id="2" w:name="_GoBack"/>
      <w:bookmarkEnd w:id="2"/>
    </w:p>
    <w:p>
      <w:pPr>
        <w:pStyle w:val="9"/>
        <w:shd w:val="clear" w:color="auto" w:fill="FFFFFF"/>
        <w:spacing w:line="500" w:lineRule="exact"/>
        <w:jc w:val="both"/>
        <w:rPr>
          <w:b/>
          <w:bCs/>
          <w:sz w:val="28"/>
          <w:szCs w:val="28"/>
          <w:shd w:val="clear" w:color="auto" w:fill="FFFFFF"/>
        </w:rPr>
      </w:pPr>
      <w:r>
        <w:rPr>
          <w:rFonts w:hint="eastAsia"/>
          <w:b/>
          <w:bCs/>
          <w:sz w:val="28"/>
          <w:szCs w:val="28"/>
          <w:shd w:val="clear" w:color="auto" w:fill="FFFFFF"/>
        </w:rPr>
        <w:t>注：供应商可选投其他品牌，但所报品牌不得低于推荐品牌标准，且须经采购人认可后方可使用。</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09B244"/>
    <w:multiLevelType w:val="multilevel"/>
    <w:tmpl w:val="E409B244"/>
    <w:lvl w:ilvl="0" w:tentative="0">
      <w:start w:val="1"/>
      <w:numFmt w:val="japaneseCounting"/>
      <w:pStyle w:val="5"/>
      <w:lvlText w:val="第%1章"/>
      <w:lvlJc w:val="left"/>
      <w:pPr>
        <w:ind w:left="1680" w:hanging="420"/>
      </w:pPr>
      <w:rPr>
        <w:rFonts w:hint="eastAsia"/>
        <w:lang w:val="en-GB"/>
      </w:rPr>
    </w:lvl>
    <w:lvl w:ilvl="1" w:tentative="0">
      <w:start w:val="1"/>
      <w:numFmt w:val="lowerLetter"/>
      <w:lvlText w:val="%2)"/>
      <w:lvlJc w:val="left"/>
      <w:pPr>
        <w:ind w:left="2100" w:hanging="420"/>
      </w:pPr>
      <w:rPr>
        <w:rFonts w:hint="eastAsia"/>
      </w:rPr>
    </w:lvl>
    <w:lvl w:ilvl="2" w:tentative="0">
      <w:start w:val="1"/>
      <w:numFmt w:val="lowerRoman"/>
      <w:lvlText w:val="%3."/>
      <w:lvlJc w:val="right"/>
      <w:pPr>
        <w:ind w:left="2520" w:hanging="420"/>
      </w:pPr>
      <w:rPr>
        <w:rFonts w:hint="eastAsia"/>
      </w:rPr>
    </w:lvl>
    <w:lvl w:ilvl="3" w:tentative="0">
      <w:start w:val="1"/>
      <w:numFmt w:val="decimal"/>
      <w:lvlText w:val="%4."/>
      <w:lvlJc w:val="left"/>
      <w:pPr>
        <w:ind w:left="2940" w:hanging="420"/>
      </w:pPr>
      <w:rPr>
        <w:rFonts w:hint="eastAsia"/>
      </w:rPr>
    </w:lvl>
    <w:lvl w:ilvl="4" w:tentative="0">
      <w:start w:val="1"/>
      <w:numFmt w:val="lowerLetter"/>
      <w:lvlText w:val="%5)"/>
      <w:lvlJc w:val="left"/>
      <w:pPr>
        <w:ind w:left="3360" w:hanging="420"/>
      </w:pPr>
      <w:rPr>
        <w:rFonts w:hint="eastAsia"/>
      </w:rPr>
    </w:lvl>
    <w:lvl w:ilvl="5" w:tentative="0">
      <w:start w:val="1"/>
      <w:numFmt w:val="lowerRoman"/>
      <w:lvlText w:val="%6."/>
      <w:lvlJc w:val="right"/>
      <w:pPr>
        <w:ind w:left="3780" w:hanging="420"/>
      </w:pPr>
      <w:rPr>
        <w:rFonts w:hint="eastAsia"/>
      </w:rPr>
    </w:lvl>
    <w:lvl w:ilvl="6" w:tentative="0">
      <w:start w:val="1"/>
      <w:numFmt w:val="decimal"/>
      <w:lvlText w:val="%7."/>
      <w:lvlJc w:val="left"/>
      <w:pPr>
        <w:ind w:left="4200" w:hanging="420"/>
      </w:pPr>
      <w:rPr>
        <w:rFonts w:hint="eastAsia"/>
      </w:rPr>
    </w:lvl>
    <w:lvl w:ilvl="7" w:tentative="0">
      <w:start w:val="1"/>
      <w:numFmt w:val="lowerLetter"/>
      <w:lvlText w:val="%8)"/>
      <w:lvlJc w:val="left"/>
      <w:pPr>
        <w:ind w:left="4620" w:hanging="420"/>
      </w:pPr>
      <w:rPr>
        <w:rFonts w:hint="eastAsia"/>
      </w:rPr>
    </w:lvl>
    <w:lvl w:ilvl="8" w:tentative="0">
      <w:start w:val="1"/>
      <w:numFmt w:val="lowerRoman"/>
      <w:lvlText w:val="%9."/>
      <w:lvlJc w:val="right"/>
      <w:pPr>
        <w:ind w:left="504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NmMjU0YjQ5OTI5ZDgxYWVhNWZmYjU2NDllNmIwNTcifQ=="/>
  </w:docVars>
  <w:rsids>
    <w:rsidRoot w:val="08082A6A"/>
    <w:rsid w:val="000231F6"/>
    <w:rsid w:val="003B010C"/>
    <w:rsid w:val="005B30C7"/>
    <w:rsid w:val="009E563D"/>
    <w:rsid w:val="00B11B46"/>
    <w:rsid w:val="00B635AC"/>
    <w:rsid w:val="00C774E9"/>
    <w:rsid w:val="00D85F7E"/>
    <w:rsid w:val="08082A6A"/>
    <w:rsid w:val="10661F2A"/>
    <w:rsid w:val="123766E5"/>
    <w:rsid w:val="2D2D51D9"/>
    <w:rsid w:val="3F223BB4"/>
    <w:rsid w:val="59510180"/>
    <w:rsid w:val="59EA1B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13"/>
    <w:qFormat/>
    <w:uiPriority w:val="0"/>
    <w:pPr>
      <w:spacing w:before="340" w:after="331"/>
      <w:jc w:val="center"/>
      <w:outlineLvl w:val="0"/>
    </w:pPr>
    <w:rPr>
      <w:rFonts w:ascii="宋体"/>
      <w:kern w:val="0"/>
      <w:sz w:val="28"/>
    </w:rPr>
  </w:style>
  <w:style w:type="paragraph" w:styleId="5">
    <w:name w:val="heading 2"/>
    <w:basedOn w:val="1"/>
    <w:next w:val="1"/>
    <w:link w:val="12"/>
    <w:semiHidden/>
    <w:unhideWhenUsed/>
    <w:qFormat/>
    <w:uiPriority w:val="0"/>
    <w:pPr>
      <w:keepNext/>
      <w:keepLines/>
      <w:numPr>
        <w:ilvl w:val="0"/>
        <w:numId w:val="1"/>
      </w:numPr>
      <w:tabs>
        <w:tab w:val="left" w:pos="0"/>
      </w:tabs>
      <w:adjustRightInd w:val="0"/>
      <w:snapToGrid w:val="0"/>
      <w:spacing w:before="50" w:beforeLines="50" w:after="50" w:afterLines="50"/>
      <w:jc w:val="center"/>
      <w:outlineLvl w:val="1"/>
    </w:pPr>
    <w:rPr>
      <w:rFonts w:ascii="黑体" w:hAnsi="黑体" w:eastAsia="黑体" w:cs="Arial"/>
      <w:b/>
      <w:kern w:val="0"/>
      <w:sz w:val="24"/>
      <w:lang w:val="en-GB"/>
    </w:rPr>
  </w:style>
  <w:style w:type="character" w:default="1" w:styleId="11">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rPr>
      <w:rFonts w:ascii="宋体"/>
      <w:sz w:val="24"/>
    </w:rPr>
  </w:style>
  <w:style w:type="paragraph" w:styleId="3">
    <w:name w:val="Body Text Indent"/>
    <w:basedOn w:val="1"/>
    <w:qFormat/>
    <w:uiPriority w:val="99"/>
    <w:pPr>
      <w:spacing w:after="120"/>
      <w:ind w:left="420" w:leftChars="200"/>
    </w:pPr>
  </w:style>
  <w:style w:type="paragraph" w:styleId="6">
    <w:name w:val="Body Text"/>
    <w:basedOn w:val="1"/>
    <w:next w:val="7"/>
    <w:qFormat/>
    <w:uiPriority w:val="0"/>
    <w:rPr>
      <w:rFonts w:ascii="黑体" w:eastAsia="黑体"/>
      <w:kern w:val="0"/>
      <w:sz w:val="20"/>
    </w:rPr>
  </w:style>
  <w:style w:type="paragraph" w:customStyle="1" w:styleId="7">
    <w:name w:val="Default"/>
    <w:qFormat/>
    <w:uiPriority w:val="0"/>
    <w:pPr>
      <w:widowControl w:val="0"/>
      <w:autoSpaceDE w:val="0"/>
      <w:autoSpaceDN w:val="0"/>
      <w:adjustRightInd w:val="0"/>
    </w:pPr>
    <w:rPr>
      <w:rFonts w:ascii="黑体" w:hAnsi="Times New Roman" w:eastAsia="黑体" w:cs="Times New Roman"/>
      <w:lang w:val="en-US" w:eastAsia="zh-CN" w:bidi="ar-SA"/>
    </w:rPr>
  </w:style>
  <w:style w:type="paragraph" w:styleId="8">
    <w:name w:val="List"/>
    <w:basedOn w:val="1"/>
    <w:qFormat/>
    <w:uiPriority w:val="0"/>
    <w:pPr>
      <w:ind w:left="200" w:hanging="200" w:hangingChars="200"/>
    </w:pPr>
    <w:rPr>
      <w:szCs w:val="20"/>
    </w:rPr>
  </w:style>
  <w:style w:type="paragraph" w:styleId="9">
    <w:name w:val="Normal (Web)"/>
    <w:basedOn w:val="1"/>
    <w:qFormat/>
    <w:uiPriority w:val="0"/>
    <w:pPr>
      <w:widowControl/>
      <w:spacing w:before="100" w:beforeAutospacing="1" w:after="100" w:afterAutospacing="1"/>
      <w:jc w:val="left"/>
    </w:pPr>
    <w:rPr>
      <w:rFonts w:ascii="宋体" w:hAnsi="宋体" w:cs="宋体"/>
      <w:kern w:val="0"/>
      <w:sz w:val="24"/>
    </w:rPr>
  </w:style>
  <w:style w:type="character" w:customStyle="1" w:styleId="12">
    <w:name w:val="标题 2 字符"/>
    <w:basedOn w:val="11"/>
    <w:link w:val="5"/>
    <w:qFormat/>
    <w:uiPriority w:val="9"/>
    <w:rPr>
      <w:rFonts w:ascii="黑体" w:hAnsi="黑体" w:eastAsia="黑体" w:cs="Arial"/>
      <w:b/>
      <w:kern w:val="0"/>
      <w:sz w:val="24"/>
      <w:szCs w:val="24"/>
      <w:lang w:val="en-GB"/>
    </w:rPr>
  </w:style>
  <w:style w:type="character" w:customStyle="1" w:styleId="13">
    <w:name w:val="标题 1 字符"/>
    <w:link w:val="4"/>
    <w:qFormat/>
    <w:uiPriority w:val="0"/>
    <w:rPr>
      <w:rFonts w:ascii="宋体"/>
      <w:kern w:val="0"/>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64</Words>
  <Characters>365</Characters>
  <Lines>3</Lines>
  <Paragraphs>1</Paragraphs>
  <TotalTime>0</TotalTime>
  <ScaleCrop>false</ScaleCrop>
  <LinksUpToDate>false</LinksUpToDate>
  <CharactersWithSpaces>428</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2023-09-20T09:57:00Z</dcterms:created>
  <dc:creator>阳</dc:creator>
  <cp:lastModifiedBy>阳</cp:lastModifiedBy>
  <dcterms:modified xsi:type="dcterms:W3CDTF">2023-09-22T00:53:16Z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9B2DCEBC83004B5AA2E250866AEDDCBB_11</vt:lpwstr>
  </property>
</Properties>
</file>